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17D1" w:rsidRDefault="00BE17D1" w:rsidP="004D3C7E">
      <w:pPr>
        <w:rPr>
          <w:rFonts w:ascii="Times New Roman" w:hAnsi="Times New Roman" w:cs="Times New Roman"/>
          <w:b/>
          <w:sz w:val="24"/>
          <w:szCs w:val="24"/>
        </w:rPr>
      </w:pPr>
    </w:p>
    <w:p w:rsidR="009F51AB" w:rsidRPr="004D3C7E" w:rsidRDefault="004D3C7E" w:rsidP="004D3C7E">
      <w:pPr>
        <w:jc w:val="center"/>
        <w:rPr>
          <w:rFonts w:ascii="Times New Roman" w:hAnsi="Times New Roman" w:cs="Times New Roman"/>
          <w:b/>
          <w:sz w:val="26"/>
          <w:szCs w:val="26"/>
        </w:rPr>
      </w:pPr>
      <w:r w:rsidRPr="004D3C7E">
        <w:rPr>
          <w:rFonts w:ascii="Times New Roman" w:hAnsi="Times New Roman" w:cs="Times New Roman"/>
          <w:b/>
          <w:sz w:val="26"/>
          <w:szCs w:val="26"/>
        </w:rPr>
        <w:t xml:space="preserve">Az </w:t>
      </w:r>
      <w:r w:rsidR="004A3B24" w:rsidRPr="004D3C7E">
        <w:rPr>
          <w:rFonts w:ascii="Times New Roman" w:hAnsi="Times New Roman" w:cs="Times New Roman"/>
          <w:b/>
          <w:sz w:val="26"/>
          <w:szCs w:val="26"/>
        </w:rPr>
        <w:t xml:space="preserve">Orosházi Kistérség Többcélú Társulása </w:t>
      </w:r>
      <w:r w:rsidRPr="004D3C7E">
        <w:rPr>
          <w:rFonts w:ascii="Times New Roman" w:hAnsi="Times New Roman" w:cs="Times New Roman"/>
          <w:b/>
          <w:sz w:val="26"/>
          <w:szCs w:val="26"/>
        </w:rPr>
        <w:t xml:space="preserve">tájékoztatója az </w:t>
      </w:r>
      <w:r w:rsidR="004A3B24" w:rsidRPr="004D3C7E">
        <w:rPr>
          <w:rFonts w:ascii="Times New Roman" w:hAnsi="Times New Roman" w:cs="Times New Roman"/>
          <w:b/>
          <w:sz w:val="26"/>
          <w:szCs w:val="26"/>
        </w:rPr>
        <w:t>által</w:t>
      </w:r>
      <w:r w:rsidRPr="004D3C7E">
        <w:rPr>
          <w:rFonts w:ascii="Times New Roman" w:hAnsi="Times New Roman" w:cs="Times New Roman"/>
          <w:b/>
          <w:sz w:val="26"/>
          <w:szCs w:val="26"/>
        </w:rPr>
        <w:t>a</w:t>
      </w:r>
      <w:r w:rsidR="004A3B24" w:rsidRPr="004D3C7E">
        <w:rPr>
          <w:rFonts w:ascii="Times New Roman" w:hAnsi="Times New Roman" w:cs="Times New Roman"/>
          <w:b/>
          <w:sz w:val="26"/>
          <w:szCs w:val="26"/>
        </w:rPr>
        <w:t xml:space="preserve"> működtetett központi orvosi ügyelet 2014. augusztus 13. és 2014. október 31. közötti működéséről</w:t>
      </w:r>
    </w:p>
    <w:p w:rsidR="004A3B24" w:rsidRDefault="004A3B24" w:rsidP="004A3B24">
      <w:pPr>
        <w:jc w:val="center"/>
        <w:rPr>
          <w:rFonts w:ascii="Times New Roman" w:hAnsi="Times New Roman" w:cs="Times New Roman"/>
          <w:b/>
          <w:sz w:val="24"/>
          <w:szCs w:val="24"/>
        </w:rPr>
      </w:pPr>
    </w:p>
    <w:p w:rsidR="004A3B24" w:rsidRDefault="004A3B24" w:rsidP="004A3B24">
      <w:pPr>
        <w:jc w:val="both"/>
        <w:rPr>
          <w:rFonts w:ascii="Times New Roman" w:hAnsi="Times New Roman" w:cs="Times New Roman"/>
          <w:sz w:val="24"/>
          <w:szCs w:val="24"/>
        </w:rPr>
      </w:pPr>
      <w:r>
        <w:rPr>
          <w:rFonts w:ascii="Times New Roman" w:hAnsi="Times New Roman" w:cs="Times New Roman"/>
          <w:sz w:val="24"/>
          <w:szCs w:val="24"/>
        </w:rPr>
        <w:t>Az Orosházi Kistérség Többcélú Társulása 2014. augusztus 13. óta az alapellátási orvosi ügyeletet saját hatáskörében működteti. Az alapellátás, így az alapellátási ügyelet biztosítása a hatályos jogszabályok alapján önkormányzati feladat. A feladat ellátása saját hatáskörben, vagy külső szolgáltató bevonásával megbízási vagy feladat átadási szerződés formájában egyaránt megvalósulhat.</w:t>
      </w:r>
    </w:p>
    <w:p w:rsidR="004A3B24" w:rsidRDefault="004A3B24" w:rsidP="004A3B24">
      <w:pPr>
        <w:jc w:val="both"/>
        <w:rPr>
          <w:rFonts w:ascii="Times New Roman" w:hAnsi="Times New Roman" w:cs="Times New Roman"/>
          <w:sz w:val="24"/>
          <w:szCs w:val="24"/>
        </w:rPr>
      </w:pPr>
      <w:r>
        <w:rPr>
          <w:rFonts w:ascii="Times New Roman" w:hAnsi="Times New Roman" w:cs="Times New Roman"/>
          <w:sz w:val="24"/>
          <w:szCs w:val="24"/>
        </w:rPr>
        <w:t xml:space="preserve">Az alapellátási orvosi ügyeletet fenti időpontig külső szolgáltató, a </w:t>
      </w:r>
      <w:proofErr w:type="spellStart"/>
      <w:r>
        <w:rPr>
          <w:rFonts w:ascii="Times New Roman" w:hAnsi="Times New Roman" w:cs="Times New Roman"/>
          <w:sz w:val="24"/>
          <w:szCs w:val="24"/>
        </w:rPr>
        <w:t>Sani</w:t>
      </w:r>
      <w:proofErr w:type="spellEnd"/>
      <w:r w:rsidR="00BE17D1">
        <w:rPr>
          <w:rFonts w:ascii="Times New Roman" w:hAnsi="Times New Roman" w:cs="Times New Roman"/>
          <w:sz w:val="24"/>
          <w:szCs w:val="24"/>
        </w:rPr>
        <w:t xml:space="preserve"> - </w:t>
      </w:r>
      <w:proofErr w:type="spellStart"/>
      <w:r>
        <w:rPr>
          <w:rFonts w:ascii="Times New Roman" w:hAnsi="Times New Roman" w:cs="Times New Roman"/>
          <w:sz w:val="24"/>
          <w:szCs w:val="24"/>
        </w:rPr>
        <w:t>Med</w:t>
      </w:r>
      <w:proofErr w:type="spellEnd"/>
      <w:r>
        <w:rPr>
          <w:rFonts w:ascii="Times New Roman" w:hAnsi="Times New Roman" w:cs="Times New Roman"/>
          <w:sz w:val="24"/>
          <w:szCs w:val="24"/>
        </w:rPr>
        <w:t xml:space="preserve"> Kft. üzemeltette, azonban az ügyelet működésével kapcsolatosan számos probléma merült fel, mely magában foglalta a gyógyszerek és eszközök súlyos, a jogszabályokban meghatározott </w:t>
      </w:r>
      <w:proofErr w:type="gramStart"/>
      <w:r>
        <w:rPr>
          <w:rFonts w:ascii="Times New Roman" w:hAnsi="Times New Roman" w:cs="Times New Roman"/>
          <w:sz w:val="24"/>
          <w:szCs w:val="24"/>
        </w:rPr>
        <w:t>minimumfeltételekhez</w:t>
      </w:r>
      <w:proofErr w:type="gramEnd"/>
      <w:r>
        <w:rPr>
          <w:rFonts w:ascii="Times New Roman" w:hAnsi="Times New Roman" w:cs="Times New Roman"/>
          <w:sz w:val="24"/>
          <w:szCs w:val="24"/>
        </w:rPr>
        <w:t xml:space="preserve"> képest való hiányosságát-hiányát, a humán erőforrás elégtelenségét különös tekintettel az orvosok vonatkozásában (a szerződésben vállalt létszámhoz képest alacsonyabb létszámú, sok esetben a jogszabályokban meghatározott képesítéssel nem rendelkező orvosok foglalkoztatása), a közreműködők juttatásainak több hónapos elmaradását, és a fentiekből adódóan a</w:t>
      </w:r>
      <w:r w:rsidR="00F20E75">
        <w:rPr>
          <w:rFonts w:ascii="Times New Roman" w:hAnsi="Times New Roman" w:cs="Times New Roman"/>
          <w:sz w:val="24"/>
          <w:szCs w:val="24"/>
        </w:rPr>
        <w:t xml:space="preserve"> beteg</w:t>
      </w:r>
      <w:r>
        <w:rPr>
          <w:rFonts w:ascii="Times New Roman" w:hAnsi="Times New Roman" w:cs="Times New Roman"/>
          <w:sz w:val="24"/>
          <w:szCs w:val="24"/>
        </w:rPr>
        <w:t>ellátás nem megfelelő szakmai színvonalát egyaránt.</w:t>
      </w:r>
    </w:p>
    <w:p w:rsidR="004A3B24" w:rsidRDefault="004A3B24" w:rsidP="004A3B24">
      <w:pPr>
        <w:jc w:val="both"/>
        <w:rPr>
          <w:rFonts w:ascii="Times New Roman" w:hAnsi="Times New Roman" w:cs="Times New Roman"/>
          <w:sz w:val="24"/>
          <w:szCs w:val="24"/>
        </w:rPr>
      </w:pPr>
      <w:r>
        <w:rPr>
          <w:rFonts w:ascii="Times New Roman" w:hAnsi="Times New Roman" w:cs="Times New Roman"/>
          <w:sz w:val="24"/>
          <w:szCs w:val="24"/>
        </w:rPr>
        <w:t xml:space="preserve">Fentiekre tekintettel </w:t>
      </w:r>
      <w:r w:rsidR="00F20E75">
        <w:rPr>
          <w:rFonts w:ascii="Times New Roman" w:hAnsi="Times New Roman" w:cs="Times New Roman"/>
          <w:sz w:val="24"/>
          <w:szCs w:val="24"/>
        </w:rPr>
        <w:t xml:space="preserve">súlyos szerződésszegés miatt a </w:t>
      </w:r>
      <w:proofErr w:type="spellStart"/>
      <w:r w:rsidR="00F20E75">
        <w:rPr>
          <w:rFonts w:ascii="Times New Roman" w:hAnsi="Times New Roman" w:cs="Times New Roman"/>
          <w:sz w:val="24"/>
          <w:szCs w:val="24"/>
        </w:rPr>
        <w:t>Sani</w:t>
      </w:r>
      <w:proofErr w:type="spellEnd"/>
      <w:r w:rsidR="00BE17D1">
        <w:rPr>
          <w:rFonts w:ascii="Times New Roman" w:hAnsi="Times New Roman" w:cs="Times New Roman"/>
          <w:sz w:val="24"/>
          <w:szCs w:val="24"/>
        </w:rPr>
        <w:t xml:space="preserve"> - </w:t>
      </w:r>
      <w:proofErr w:type="spellStart"/>
      <w:r w:rsidR="00BE17D1">
        <w:rPr>
          <w:rFonts w:ascii="Times New Roman" w:hAnsi="Times New Roman" w:cs="Times New Roman"/>
          <w:sz w:val="24"/>
          <w:szCs w:val="24"/>
        </w:rPr>
        <w:t>Med</w:t>
      </w:r>
      <w:proofErr w:type="spellEnd"/>
      <w:r w:rsidR="00BE17D1">
        <w:rPr>
          <w:rFonts w:ascii="Times New Roman" w:hAnsi="Times New Roman" w:cs="Times New Roman"/>
          <w:sz w:val="24"/>
          <w:szCs w:val="24"/>
        </w:rPr>
        <w:t xml:space="preserve"> Kft </w:t>
      </w:r>
      <w:r w:rsidR="00F20E75">
        <w:rPr>
          <w:rFonts w:ascii="Times New Roman" w:hAnsi="Times New Roman" w:cs="Times New Roman"/>
          <w:sz w:val="24"/>
          <w:szCs w:val="24"/>
        </w:rPr>
        <w:t>-</w:t>
      </w:r>
      <w:r w:rsidR="00BE17D1">
        <w:rPr>
          <w:rFonts w:ascii="Times New Roman" w:hAnsi="Times New Roman" w:cs="Times New Roman"/>
          <w:sz w:val="24"/>
          <w:szCs w:val="24"/>
        </w:rPr>
        <w:t xml:space="preserve"> </w:t>
      </w:r>
      <w:proofErr w:type="spellStart"/>
      <w:r w:rsidR="00F20E75">
        <w:rPr>
          <w:rFonts w:ascii="Times New Roman" w:hAnsi="Times New Roman" w:cs="Times New Roman"/>
          <w:sz w:val="24"/>
          <w:szCs w:val="24"/>
        </w:rPr>
        <w:t>vel</w:t>
      </w:r>
      <w:proofErr w:type="spellEnd"/>
      <w:r w:rsidR="00F20E75">
        <w:rPr>
          <w:rFonts w:ascii="Times New Roman" w:hAnsi="Times New Roman" w:cs="Times New Roman"/>
          <w:sz w:val="24"/>
          <w:szCs w:val="24"/>
        </w:rPr>
        <w:t xml:space="preserve"> kötött szolgáltatási szerződés azonnali hatállyal felbontásra került. Az ügyelet további működtetése más külső szolgáltató bevonásával is megvalósulhatott volna, azonban hasonló anomáliák lehetséges előfordulása más külső szolgáltató esetében sem volt kizárható. Az alapellátási ügyelet külső szolgáltató útján való ellátása a szolgáltatók profit érdekeltsége, a szolgáltatás működése, szakmai színvonala ellenőrzésének, kontrollálásának nehezítettsége miatt óhatatlanul magában hordozza a korábbihoz hasonló problémák ismételt előfordulásának lehetőségét. Az egészségügyben az elmúlt években számtalan alkalommal bebizonyosodott, hogy profitérdekelt szolgáltatók helyett hatékony, a rendelkezésre álló forrást teljes egészében a minőségi betegellátás megteremtésére fordító működés csak központ</w:t>
      </w:r>
      <w:r w:rsidR="006F7DAE">
        <w:rPr>
          <w:rFonts w:ascii="Times New Roman" w:hAnsi="Times New Roman" w:cs="Times New Roman"/>
          <w:sz w:val="24"/>
          <w:szCs w:val="24"/>
        </w:rPr>
        <w:t xml:space="preserve">i, „állami-önkormányzati” formában valósítható meg, ahogy a fekvőbeteg ellátás, szakellátás tekintetében az meg is valósult. </w:t>
      </w:r>
    </w:p>
    <w:p w:rsidR="006F7DAE" w:rsidRDefault="006F7DAE" w:rsidP="004A3B24">
      <w:pPr>
        <w:jc w:val="both"/>
        <w:rPr>
          <w:rFonts w:ascii="Times New Roman" w:hAnsi="Times New Roman" w:cs="Times New Roman"/>
          <w:sz w:val="24"/>
          <w:szCs w:val="24"/>
        </w:rPr>
      </w:pPr>
      <w:r>
        <w:rPr>
          <w:rFonts w:ascii="Times New Roman" w:hAnsi="Times New Roman" w:cs="Times New Roman"/>
          <w:sz w:val="24"/>
          <w:szCs w:val="24"/>
        </w:rPr>
        <w:t xml:space="preserve">Mindezek miatt az Orosházi Kistérség Többcélú Társulása az alapellátási ügyelet saját hatáskörben történő megvalósítása mellett döntött, célul tűzve ki a hatályos jogszabályoknak való maximális megfelelést, és a magas szakmai színvonalú betegellátás megteremtését az alapellátási ügyeletben. Modellként a hasonló adottságokkal rendelkező, több mint 10 éve hatékonyan működő, az alapellátással kapcsolatos tanulmányok során maximálisan hatékonynak talált és megvalósításra ajánlott esztergomi ügyeleti szerkezetet vettük alapul, mely kb. 50 km átmérőjű, 60.000 lakosú, az Országos Mentőszolgálattal és a helyi Sürgősségi Betegellátó Osztállyal együttműködő, egy központú alapellátási orvosi ügyelet kialakítását támogatja. </w:t>
      </w:r>
      <w:r w:rsidR="00291D1A">
        <w:rPr>
          <w:rFonts w:ascii="Times New Roman" w:hAnsi="Times New Roman" w:cs="Times New Roman"/>
          <w:sz w:val="24"/>
          <w:szCs w:val="24"/>
        </w:rPr>
        <w:t xml:space="preserve">A rendszer képes kiegészítő támogatás nélkül hosszú távon stabilan, magas </w:t>
      </w:r>
      <w:r w:rsidR="00291D1A">
        <w:rPr>
          <w:rFonts w:ascii="Times New Roman" w:hAnsi="Times New Roman" w:cs="Times New Roman"/>
          <w:sz w:val="24"/>
          <w:szCs w:val="24"/>
        </w:rPr>
        <w:lastRenderedPageBreak/>
        <w:t>szakmai színvonalon megvalósuló betegellátás biztosítására. Fentiek miatt megtörtént a kapcsolat felvétel a helyi Kórház Vezetése, és az Országos Mentőszolgálat Dél-Alföldi régiójának Vezetőségével, ahol az egyeztetések során fenti szerkezet kialakítását szintén maximálisan támogatták, és az együttműködés lehetőségét örömmel fogadták, tekintettel arra, hogy a korábbi rendszer a hiányos, nem megfelelő létszámú és felkészültségű orvosok miatt számtalan alkalommal szült konfliktusokat az SBO és a Mentőszolgálat hiányában egyaránt, és számos alkalommal a betegek ellátási biztonságát is veszélyeztette.</w:t>
      </w:r>
    </w:p>
    <w:p w:rsidR="00291D1A" w:rsidRDefault="00291D1A" w:rsidP="004A3B24">
      <w:pPr>
        <w:jc w:val="both"/>
        <w:rPr>
          <w:rFonts w:ascii="Times New Roman" w:hAnsi="Times New Roman" w:cs="Times New Roman"/>
          <w:sz w:val="24"/>
          <w:szCs w:val="24"/>
        </w:rPr>
      </w:pPr>
      <w:r>
        <w:rPr>
          <w:rFonts w:ascii="Times New Roman" w:hAnsi="Times New Roman" w:cs="Times New Roman"/>
          <w:sz w:val="24"/>
          <w:szCs w:val="24"/>
        </w:rPr>
        <w:t xml:space="preserve">A </w:t>
      </w:r>
      <w:proofErr w:type="spellStart"/>
      <w:r>
        <w:rPr>
          <w:rFonts w:ascii="Times New Roman" w:hAnsi="Times New Roman" w:cs="Times New Roman"/>
          <w:sz w:val="24"/>
          <w:szCs w:val="24"/>
        </w:rPr>
        <w:t>Sani</w:t>
      </w:r>
      <w:proofErr w:type="spellEnd"/>
      <w:r w:rsidR="00BE17D1">
        <w:rPr>
          <w:rFonts w:ascii="Times New Roman" w:hAnsi="Times New Roman" w:cs="Times New Roman"/>
          <w:sz w:val="24"/>
          <w:szCs w:val="24"/>
        </w:rPr>
        <w:t xml:space="preserve"> - </w:t>
      </w:r>
      <w:proofErr w:type="spellStart"/>
      <w:r>
        <w:rPr>
          <w:rFonts w:ascii="Times New Roman" w:hAnsi="Times New Roman" w:cs="Times New Roman"/>
          <w:sz w:val="24"/>
          <w:szCs w:val="24"/>
        </w:rPr>
        <w:t>Med</w:t>
      </w:r>
      <w:proofErr w:type="spellEnd"/>
      <w:r>
        <w:rPr>
          <w:rFonts w:ascii="Times New Roman" w:hAnsi="Times New Roman" w:cs="Times New Roman"/>
          <w:sz w:val="24"/>
          <w:szCs w:val="24"/>
        </w:rPr>
        <w:t xml:space="preserve"> Kft. súlyos szerződésszegése miatt azonban az ügyelet azonnali hatályú átvétele vált szükségessé, így a fenti rendszer megfelelő előkészítése nem volt megvalósítható, és a Kistérség </w:t>
      </w:r>
      <w:r w:rsidR="00A807A1">
        <w:rPr>
          <w:rFonts w:ascii="Times New Roman" w:hAnsi="Times New Roman" w:cs="Times New Roman"/>
          <w:sz w:val="24"/>
          <w:szCs w:val="24"/>
        </w:rPr>
        <w:t>ideiglenesen a két</w:t>
      </w:r>
      <w:r>
        <w:rPr>
          <w:rFonts w:ascii="Times New Roman" w:hAnsi="Times New Roman" w:cs="Times New Roman"/>
          <w:sz w:val="24"/>
          <w:szCs w:val="24"/>
        </w:rPr>
        <w:t>központú ügyelet további működtetése mellett döntött, ami azonban az OEP finanszírozáson felül jelentős kiegészítő hozzájárulás biztosítását igényli. Mint azt az alábbiakban is láthatjuk, a működtetés során észlelt betegforgalom egyértelműen mutatja, hogy két ügyeleti központ fenntartása nem indokolt, az ellátás teljes mértékben, biztonsággal megoldható az egy központú ügyeleti modellben is (ami nem is meglepő</w:t>
      </w:r>
      <w:r w:rsidR="003B422F">
        <w:rPr>
          <w:rFonts w:ascii="Times New Roman" w:hAnsi="Times New Roman" w:cs="Times New Roman"/>
          <w:sz w:val="24"/>
          <w:szCs w:val="24"/>
        </w:rPr>
        <w:t>,</w:t>
      </w:r>
      <w:r>
        <w:rPr>
          <w:rFonts w:ascii="Times New Roman" w:hAnsi="Times New Roman" w:cs="Times New Roman"/>
          <w:sz w:val="24"/>
          <w:szCs w:val="24"/>
        </w:rPr>
        <w:t xml:space="preserve"> ha figyelembe vesszük azt, hogy a rendszer más területeken már </w:t>
      </w:r>
      <w:proofErr w:type="gramStart"/>
      <w:r>
        <w:rPr>
          <w:rFonts w:ascii="Times New Roman" w:hAnsi="Times New Roman" w:cs="Times New Roman"/>
          <w:sz w:val="24"/>
          <w:szCs w:val="24"/>
        </w:rPr>
        <w:t>több</w:t>
      </w:r>
      <w:r w:rsidR="00BE17D1">
        <w:rPr>
          <w:rFonts w:ascii="Times New Roman" w:hAnsi="Times New Roman" w:cs="Times New Roman"/>
          <w:sz w:val="24"/>
          <w:szCs w:val="24"/>
        </w:rPr>
        <w:t xml:space="preserve">, </w:t>
      </w:r>
      <w:r>
        <w:rPr>
          <w:rFonts w:ascii="Times New Roman" w:hAnsi="Times New Roman" w:cs="Times New Roman"/>
          <w:sz w:val="24"/>
          <w:szCs w:val="24"/>
        </w:rPr>
        <w:t>mint</w:t>
      </w:r>
      <w:proofErr w:type="gramEnd"/>
      <w:r>
        <w:rPr>
          <w:rFonts w:ascii="Times New Roman" w:hAnsi="Times New Roman" w:cs="Times New Roman"/>
          <w:sz w:val="24"/>
          <w:szCs w:val="24"/>
        </w:rPr>
        <w:t xml:space="preserve"> 10 éve hatékonyan működik).</w:t>
      </w:r>
    </w:p>
    <w:p w:rsidR="003B422F" w:rsidRDefault="003B422F" w:rsidP="004A3B24">
      <w:pPr>
        <w:jc w:val="both"/>
        <w:rPr>
          <w:rFonts w:ascii="Times New Roman" w:hAnsi="Times New Roman" w:cs="Times New Roman"/>
          <w:sz w:val="24"/>
          <w:szCs w:val="24"/>
        </w:rPr>
      </w:pPr>
      <w:r>
        <w:rPr>
          <w:rFonts w:ascii="Times New Roman" w:hAnsi="Times New Roman" w:cs="Times New Roman"/>
          <w:sz w:val="24"/>
          <w:szCs w:val="24"/>
        </w:rPr>
        <w:t xml:space="preserve">Az ügyelet azonnali átvétele rendkívül nehéz helyzet elé állította az Önkormányzatokat, a Kistérséget és az ügyeleti koordinátort egyaránt, hiszen alig néhány óra alatt kellett a semmiből előteremteni a működéshez szükséges gyógyszereket, eszközöket és humán erőforrást egyaránt. </w:t>
      </w:r>
      <w:r w:rsidR="00A807A1">
        <w:rPr>
          <w:rFonts w:ascii="Times New Roman" w:hAnsi="Times New Roman" w:cs="Times New Roman"/>
          <w:sz w:val="24"/>
          <w:szCs w:val="24"/>
        </w:rPr>
        <w:t xml:space="preserve">Az Önkormányzatok, a Kistérség, a helyi Kórház és a helyi háziorvosok példaértékű összefogásával azonban sikerült néhány óra alatt gyakorlatilag a semmiből működőképes ügyeletet szervezni, és a Kistérség és ügyeleti koordinátor szó szoros értelmében vett folyamatos, éjjel-nappali munkájával, az ügyeletes orvosok segítő hozzáállásával tartósan működtetni is. Jelenleg elmondhatjuk, hogy az eredeti célkitűzés, a hatályos jogszabályoknak maximálisan megfelelő, magas szakmai színvonalú ügyelet megvalósult, és stabilan működik. </w:t>
      </w:r>
    </w:p>
    <w:p w:rsidR="00A807A1" w:rsidRDefault="00A807A1" w:rsidP="004A3B24">
      <w:pPr>
        <w:jc w:val="both"/>
        <w:rPr>
          <w:rFonts w:ascii="Times New Roman" w:hAnsi="Times New Roman" w:cs="Times New Roman"/>
          <w:sz w:val="24"/>
          <w:szCs w:val="24"/>
        </w:rPr>
      </w:pPr>
      <w:r>
        <w:rPr>
          <w:rFonts w:ascii="Times New Roman" w:hAnsi="Times New Roman" w:cs="Times New Roman"/>
          <w:sz w:val="24"/>
          <w:szCs w:val="24"/>
        </w:rPr>
        <w:t xml:space="preserve">Az ügyelet átvétele óta folyamatosan rendelkezésre állnak a szükséges gyógyszerek és gyógyászati segédeszközök, folyamatosan zajlik az orvostechnikai eszközök beszerzése, </w:t>
      </w:r>
      <w:r w:rsidR="004D486E">
        <w:rPr>
          <w:rFonts w:ascii="Times New Roman" w:hAnsi="Times New Roman" w:cs="Times New Roman"/>
          <w:sz w:val="24"/>
          <w:szCs w:val="24"/>
        </w:rPr>
        <w:t xml:space="preserve">a meglevő eszközök </w:t>
      </w:r>
      <w:r>
        <w:rPr>
          <w:rFonts w:ascii="Times New Roman" w:hAnsi="Times New Roman" w:cs="Times New Roman"/>
          <w:sz w:val="24"/>
          <w:szCs w:val="24"/>
        </w:rPr>
        <w:t xml:space="preserve">felülvizsgálata és szervizelése. </w:t>
      </w:r>
      <w:r w:rsidR="004D486E">
        <w:rPr>
          <w:rFonts w:ascii="Times New Roman" w:hAnsi="Times New Roman" w:cs="Times New Roman"/>
          <w:sz w:val="24"/>
          <w:szCs w:val="24"/>
        </w:rPr>
        <w:t xml:space="preserve">Folyamatosan rendelkezésre áll a megfelelő létszámú és képzettségű ügyeleti személyzet, időben kifizetésre kerülnek a közreműködők juttatásai. Az ügyelettel kapcsolatosan a lakosság részéről számos pozitív visszajelzés érkezik, az ellátással kapcsolatos panaszok, kifogások száma drasztikusan csökkent (az egészségügyben a maximális elégedettség, és teljes panaszmentesség </w:t>
      </w:r>
      <w:proofErr w:type="spellStart"/>
      <w:r w:rsidR="004D486E">
        <w:rPr>
          <w:rFonts w:ascii="Times New Roman" w:hAnsi="Times New Roman" w:cs="Times New Roman"/>
          <w:sz w:val="24"/>
          <w:szCs w:val="24"/>
        </w:rPr>
        <w:t>axioma-szerűen</w:t>
      </w:r>
      <w:proofErr w:type="spellEnd"/>
      <w:r w:rsidR="004D486E">
        <w:rPr>
          <w:rFonts w:ascii="Times New Roman" w:hAnsi="Times New Roman" w:cs="Times New Roman"/>
          <w:sz w:val="24"/>
          <w:szCs w:val="24"/>
        </w:rPr>
        <w:t xml:space="preserve"> nem valósulhat meg, adódóan a beteg ember speciális pszichés-mentális helyzetéből). Szakmai értelemben az Országos Mentőszolgálat és a Kórház </w:t>
      </w:r>
      <w:proofErr w:type="spellStart"/>
      <w:r w:rsidR="004D486E">
        <w:rPr>
          <w:rFonts w:ascii="Times New Roman" w:hAnsi="Times New Roman" w:cs="Times New Roman"/>
          <w:sz w:val="24"/>
          <w:szCs w:val="24"/>
        </w:rPr>
        <w:t>SBO-ja</w:t>
      </w:r>
      <w:proofErr w:type="spellEnd"/>
      <w:r w:rsidR="004D486E">
        <w:rPr>
          <w:rFonts w:ascii="Times New Roman" w:hAnsi="Times New Roman" w:cs="Times New Roman"/>
          <w:sz w:val="24"/>
          <w:szCs w:val="24"/>
        </w:rPr>
        <w:t xml:space="preserve"> irányából egyértelműen pozitív visszajelzések érkeznek az ügyelet működésével, az ellátások szakmai színvonalával kapcsolatosan.</w:t>
      </w:r>
    </w:p>
    <w:p w:rsidR="004D486E" w:rsidRDefault="004D486E" w:rsidP="004A3B24">
      <w:pPr>
        <w:jc w:val="both"/>
        <w:rPr>
          <w:rFonts w:ascii="Times New Roman" w:hAnsi="Times New Roman" w:cs="Times New Roman"/>
          <w:sz w:val="24"/>
          <w:szCs w:val="24"/>
        </w:rPr>
      </w:pPr>
      <w:r>
        <w:rPr>
          <w:rFonts w:ascii="Times New Roman" w:hAnsi="Times New Roman" w:cs="Times New Roman"/>
          <w:sz w:val="24"/>
          <w:szCs w:val="24"/>
        </w:rPr>
        <w:t>Az ügyelet átvétele óta az ügyelet biztosításában összesen 26 orvos kolléga vett részt. Az ügyeletben közreműködő orvosok kb. 50%-a helyi kötődésű, az alapellátásban vagy a fekvőbeteg ellátásban dolgozó kolléga. 50%-ban kerül sor „külsős” orvosok bevonására, akik alapvetően sürgősségi betegellátásban, mentésben dolgozó szakemberek. Az orvosok közül 7-</w:t>
      </w:r>
      <w:r>
        <w:rPr>
          <w:rFonts w:ascii="Times New Roman" w:hAnsi="Times New Roman" w:cs="Times New Roman"/>
          <w:sz w:val="24"/>
          <w:szCs w:val="24"/>
        </w:rPr>
        <w:lastRenderedPageBreak/>
        <w:t xml:space="preserve">en szakorvosjelöltek, 19-en szakorvosok, azonban valamennyi orvos rendelkezik a hatályos jogszabályokban előírt képzettséggel, </w:t>
      </w:r>
      <w:r w:rsidR="00692543">
        <w:rPr>
          <w:rFonts w:ascii="Times New Roman" w:hAnsi="Times New Roman" w:cs="Times New Roman"/>
          <w:sz w:val="24"/>
          <w:szCs w:val="24"/>
        </w:rPr>
        <w:t>ami országosan egyedülálló helyzet! A közreműködő orvosok átlag életkora 37 év, ami szintén egyedülálló a köztudottan elöregedő háziorvosi szektorban. Elmondható tehát, hogy az ügyeletet jelenleg igen magasan kvalifikált, fiatal, dinamikus, nagy teherbírású, jól terhelhető, szakmailag és emberileg is igen rátermett orvosok biztosítják. Ezen orvosgárda megszervezése azonban 3 igen fontos tényező együttes megvalósulásával volt csak lehetséges: a Kistérség színvonalas betegellátás iránti elkötelezettsége és anyagi áldozatvállalása, a versenyképes órabérek és az ügyeleti koordinátor személyes kapcsolatrendszeres egyaránt szükséges volt. A magas szakmai színvonalú ügyelet hosszú távú működtetéséhez azonban mindhárom tényező tartós fennmaradása szükséges, ezek közül bármelyik kiesése az igen nehéz munkával összeszervezett orvosgárda felbomlásához vezet!</w:t>
      </w:r>
    </w:p>
    <w:p w:rsidR="00692543" w:rsidRDefault="00692543" w:rsidP="004A3B24">
      <w:pPr>
        <w:jc w:val="both"/>
        <w:rPr>
          <w:rFonts w:ascii="Times New Roman" w:hAnsi="Times New Roman" w:cs="Times New Roman"/>
          <w:sz w:val="24"/>
          <w:szCs w:val="24"/>
        </w:rPr>
      </w:pPr>
      <w:r>
        <w:rPr>
          <w:rFonts w:ascii="Times New Roman" w:hAnsi="Times New Roman" w:cs="Times New Roman"/>
          <w:sz w:val="24"/>
          <w:szCs w:val="24"/>
        </w:rPr>
        <w:t>A betegforgalom tekintetében az alábbi trendek figyelhetőek meg</w:t>
      </w:r>
      <w:r w:rsidR="00707EA9">
        <w:rPr>
          <w:rFonts w:ascii="Times New Roman" w:hAnsi="Times New Roman" w:cs="Times New Roman"/>
          <w:sz w:val="24"/>
          <w:szCs w:val="24"/>
        </w:rPr>
        <w:t xml:space="preserve"> (2014.08.13.-2014.10.31. közötti időszak tekintetében):</w:t>
      </w:r>
    </w:p>
    <w:tbl>
      <w:tblPr>
        <w:tblStyle w:val="Rcsostblzat"/>
        <w:tblW w:w="9464" w:type="dxa"/>
        <w:tblLook w:val="04A0"/>
      </w:tblPr>
      <w:tblGrid>
        <w:gridCol w:w="2376"/>
        <w:gridCol w:w="3507"/>
        <w:gridCol w:w="3581"/>
      </w:tblGrid>
      <w:tr w:rsidR="00707EA9" w:rsidRPr="00707EA9" w:rsidTr="00707EA9">
        <w:tc>
          <w:tcPr>
            <w:tcW w:w="2376" w:type="dxa"/>
            <w:vAlign w:val="center"/>
          </w:tcPr>
          <w:p w:rsidR="00707EA9" w:rsidRPr="00707EA9" w:rsidRDefault="00707EA9" w:rsidP="00707EA9">
            <w:pPr>
              <w:jc w:val="center"/>
              <w:rPr>
                <w:rFonts w:ascii="Times New Roman" w:hAnsi="Times New Roman" w:cs="Times New Roman"/>
                <w:sz w:val="24"/>
                <w:szCs w:val="24"/>
              </w:rPr>
            </w:pPr>
          </w:p>
        </w:tc>
        <w:tc>
          <w:tcPr>
            <w:tcW w:w="3507" w:type="dxa"/>
            <w:vAlign w:val="center"/>
          </w:tcPr>
          <w:p w:rsidR="00707EA9" w:rsidRPr="00707EA9" w:rsidRDefault="00707EA9" w:rsidP="00707EA9">
            <w:pPr>
              <w:jc w:val="center"/>
              <w:rPr>
                <w:rFonts w:ascii="Times New Roman" w:hAnsi="Times New Roman" w:cs="Times New Roman"/>
                <w:sz w:val="24"/>
                <w:szCs w:val="24"/>
              </w:rPr>
            </w:pPr>
            <w:r w:rsidRPr="00707EA9">
              <w:rPr>
                <w:rFonts w:ascii="Times New Roman" w:hAnsi="Times New Roman" w:cs="Times New Roman"/>
                <w:sz w:val="24"/>
                <w:szCs w:val="24"/>
              </w:rPr>
              <w:t>ellátott betegek összes száma</w:t>
            </w:r>
          </w:p>
        </w:tc>
        <w:tc>
          <w:tcPr>
            <w:tcW w:w="3581" w:type="dxa"/>
            <w:vAlign w:val="center"/>
          </w:tcPr>
          <w:p w:rsidR="00707EA9" w:rsidRPr="00707EA9" w:rsidRDefault="00707EA9" w:rsidP="00707EA9">
            <w:pPr>
              <w:jc w:val="center"/>
              <w:rPr>
                <w:rFonts w:ascii="Times New Roman" w:hAnsi="Times New Roman" w:cs="Times New Roman"/>
                <w:sz w:val="24"/>
                <w:szCs w:val="24"/>
              </w:rPr>
            </w:pPr>
            <w:r w:rsidRPr="00707EA9">
              <w:rPr>
                <w:rFonts w:ascii="Times New Roman" w:hAnsi="Times New Roman" w:cs="Times New Roman"/>
                <w:sz w:val="24"/>
                <w:szCs w:val="24"/>
              </w:rPr>
              <w:t>ebből Tótkomlóson ellátott betegek száma</w:t>
            </w:r>
          </w:p>
        </w:tc>
      </w:tr>
      <w:tr w:rsidR="00707EA9" w:rsidRPr="00707EA9" w:rsidTr="00707EA9">
        <w:tc>
          <w:tcPr>
            <w:tcW w:w="2376" w:type="dxa"/>
            <w:vAlign w:val="center"/>
          </w:tcPr>
          <w:p w:rsidR="00707EA9" w:rsidRPr="00707EA9" w:rsidRDefault="00707EA9" w:rsidP="00707EA9">
            <w:pPr>
              <w:jc w:val="center"/>
              <w:rPr>
                <w:rFonts w:ascii="Times New Roman" w:hAnsi="Times New Roman" w:cs="Times New Roman"/>
                <w:sz w:val="24"/>
                <w:szCs w:val="24"/>
              </w:rPr>
            </w:pPr>
            <w:r w:rsidRPr="00707EA9">
              <w:rPr>
                <w:rFonts w:ascii="Times New Roman" w:hAnsi="Times New Roman" w:cs="Times New Roman"/>
                <w:sz w:val="24"/>
                <w:szCs w:val="24"/>
              </w:rPr>
              <w:t>augusztus</w:t>
            </w:r>
            <w:r>
              <w:rPr>
                <w:rFonts w:ascii="Times New Roman" w:hAnsi="Times New Roman" w:cs="Times New Roman"/>
                <w:sz w:val="24"/>
                <w:szCs w:val="24"/>
              </w:rPr>
              <w:t xml:space="preserve"> (08.13.-tól)</w:t>
            </w:r>
          </w:p>
        </w:tc>
        <w:tc>
          <w:tcPr>
            <w:tcW w:w="3507" w:type="dxa"/>
            <w:vAlign w:val="center"/>
          </w:tcPr>
          <w:p w:rsidR="00707EA9" w:rsidRPr="00707EA9" w:rsidRDefault="00707EA9" w:rsidP="00707EA9">
            <w:pPr>
              <w:jc w:val="center"/>
              <w:rPr>
                <w:rFonts w:ascii="Times New Roman" w:hAnsi="Times New Roman" w:cs="Times New Roman"/>
                <w:color w:val="000000"/>
                <w:sz w:val="24"/>
                <w:szCs w:val="24"/>
              </w:rPr>
            </w:pPr>
            <w:r w:rsidRPr="00707EA9">
              <w:rPr>
                <w:rFonts w:ascii="Times New Roman" w:hAnsi="Times New Roman" w:cs="Times New Roman"/>
                <w:color w:val="000000"/>
                <w:sz w:val="24"/>
                <w:szCs w:val="24"/>
              </w:rPr>
              <w:t>292</w:t>
            </w:r>
          </w:p>
        </w:tc>
        <w:tc>
          <w:tcPr>
            <w:tcW w:w="3581" w:type="dxa"/>
            <w:vAlign w:val="center"/>
          </w:tcPr>
          <w:p w:rsidR="00707EA9" w:rsidRPr="00707EA9" w:rsidRDefault="00707EA9" w:rsidP="00707EA9">
            <w:pPr>
              <w:jc w:val="center"/>
              <w:rPr>
                <w:rFonts w:ascii="Times New Roman" w:hAnsi="Times New Roman" w:cs="Times New Roman"/>
                <w:color w:val="000000"/>
                <w:sz w:val="24"/>
                <w:szCs w:val="24"/>
              </w:rPr>
            </w:pPr>
            <w:r w:rsidRPr="00707EA9">
              <w:rPr>
                <w:rFonts w:ascii="Times New Roman" w:hAnsi="Times New Roman" w:cs="Times New Roman"/>
                <w:color w:val="000000"/>
                <w:sz w:val="24"/>
                <w:szCs w:val="24"/>
              </w:rPr>
              <w:t>84</w:t>
            </w:r>
          </w:p>
        </w:tc>
      </w:tr>
      <w:tr w:rsidR="00707EA9" w:rsidRPr="00707EA9" w:rsidTr="00707EA9">
        <w:tc>
          <w:tcPr>
            <w:tcW w:w="2376" w:type="dxa"/>
            <w:vAlign w:val="center"/>
          </w:tcPr>
          <w:p w:rsidR="00707EA9" w:rsidRPr="00707EA9" w:rsidRDefault="00707EA9" w:rsidP="00707EA9">
            <w:pPr>
              <w:jc w:val="center"/>
              <w:rPr>
                <w:rFonts w:ascii="Times New Roman" w:hAnsi="Times New Roman" w:cs="Times New Roman"/>
                <w:sz w:val="24"/>
                <w:szCs w:val="24"/>
              </w:rPr>
            </w:pPr>
            <w:r w:rsidRPr="00707EA9">
              <w:rPr>
                <w:rFonts w:ascii="Times New Roman" w:hAnsi="Times New Roman" w:cs="Times New Roman"/>
                <w:sz w:val="24"/>
                <w:szCs w:val="24"/>
              </w:rPr>
              <w:t>szeptember</w:t>
            </w:r>
          </w:p>
        </w:tc>
        <w:tc>
          <w:tcPr>
            <w:tcW w:w="3507" w:type="dxa"/>
            <w:vAlign w:val="center"/>
          </w:tcPr>
          <w:p w:rsidR="00707EA9" w:rsidRPr="00707EA9" w:rsidRDefault="00707EA9" w:rsidP="00707EA9">
            <w:pPr>
              <w:jc w:val="center"/>
              <w:rPr>
                <w:rFonts w:ascii="Times New Roman" w:hAnsi="Times New Roman" w:cs="Times New Roman"/>
                <w:color w:val="000000"/>
                <w:sz w:val="24"/>
                <w:szCs w:val="24"/>
              </w:rPr>
            </w:pPr>
            <w:r w:rsidRPr="00707EA9">
              <w:rPr>
                <w:rFonts w:ascii="Times New Roman" w:hAnsi="Times New Roman" w:cs="Times New Roman"/>
                <w:color w:val="000000"/>
                <w:sz w:val="24"/>
                <w:szCs w:val="24"/>
              </w:rPr>
              <w:t>390</w:t>
            </w:r>
          </w:p>
        </w:tc>
        <w:tc>
          <w:tcPr>
            <w:tcW w:w="3581" w:type="dxa"/>
            <w:vAlign w:val="center"/>
          </w:tcPr>
          <w:p w:rsidR="00707EA9" w:rsidRPr="00707EA9" w:rsidRDefault="00707EA9" w:rsidP="00707EA9">
            <w:pPr>
              <w:jc w:val="center"/>
              <w:rPr>
                <w:rFonts w:ascii="Times New Roman" w:hAnsi="Times New Roman" w:cs="Times New Roman"/>
                <w:color w:val="000000"/>
                <w:sz w:val="24"/>
                <w:szCs w:val="24"/>
              </w:rPr>
            </w:pPr>
            <w:r w:rsidRPr="00707EA9">
              <w:rPr>
                <w:rFonts w:ascii="Times New Roman" w:hAnsi="Times New Roman" w:cs="Times New Roman"/>
                <w:color w:val="000000"/>
                <w:sz w:val="24"/>
                <w:szCs w:val="24"/>
              </w:rPr>
              <w:t>115</w:t>
            </w:r>
          </w:p>
        </w:tc>
      </w:tr>
      <w:tr w:rsidR="00707EA9" w:rsidRPr="00707EA9" w:rsidTr="00707EA9">
        <w:tc>
          <w:tcPr>
            <w:tcW w:w="2376" w:type="dxa"/>
            <w:vAlign w:val="center"/>
          </w:tcPr>
          <w:p w:rsidR="00707EA9" w:rsidRPr="00707EA9" w:rsidRDefault="00707EA9" w:rsidP="00707EA9">
            <w:pPr>
              <w:jc w:val="center"/>
              <w:rPr>
                <w:rFonts w:ascii="Times New Roman" w:hAnsi="Times New Roman" w:cs="Times New Roman"/>
                <w:sz w:val="24"/>
                <w:szCs w:val="24"/>
              </w:rPr>
            </w:pPr>
            <w:r w:rsidRPr="00707EA9">
              <w:rPr>
                <w:rFonts w:ascii="Times New Roman" w:hAnsi="Times New Roman" w:cs="Times New Roman"/>
                <w:sz w:val="24"/>
                <w:szCs w:val="24"/>
              </w:rPr>
              <w:t>október</w:t>
            </w:r>
          </w:p>
        </w:tc>
        <w:tc>
          <w:tcPr>
            <w:tcW w:w="3507" w:type="dxa"/>
            <w:vAlign w:val="center"/>
          </w:tcPr>
          <w:p w:rsidR="00707EA9" w:rsidRPr="00707EA9" w:rsidRDefault="00707EA9" w:rsidP="00707EA9">
            <w:pPr>
              <w:jc w:val="center"/>
              <w:rPr>
                <w:rFonts w:ascii="Times New Roman" w:hAnsi="Times New Roman" w:cs="Times New Roman"/>
                <w:color w:val="000000"/>
                <w:sz w:val="24"/>
                <w:szCs w:val="24"/>
              </w:rPr>
            </w:pPr>
            <w:r w:rsidRPr="00707EA9">
              <w:rPr>
                <w:rFonts w:ascii="Times New Roman" w:hAnsi="Times New Roman" w:cs="Times New Roman"/>
                <w:color w:val="000000"/>
                <w:sz w:val="24"/>
                <w:szCs w:val="24"/>
              </w:rPr>
              <w:t>428</w:t>
            </w:r>
          </w:p>
        </w:tc>
        <w:tc>
          <w:tcPr>
            <w:tcW w:w="3581" w:type="dxa"/>
            <w:vAlign w:val="center"/>
          </w:tcPr>
          <w:p w:rsidR="00707EA9" w:rsidRPr="00707EA9" w:rsidRDefault="00707EA9" w:rsidP="00707EA9">
            <w:pPr>
              <w:jc w:val="center"/>
              <w:rPr>
                <w:rFonts w:ascii="Times New Roman" w:hAnsi="Times New Roman" w:cs="Times New Roman"/>
                <w:color w:val="000000"/>
                <w:sz w:val="24"/>
                <w:szCs w:val="24"/>
              </w:rPr>
            </w:pPr>
            <w:r w:rsidRPr="00707EA9">
              <w:rPr>
                <w:rFonts w:ascii="Times New Roman" w:hAnsi="Times New Roman" w:cs="Times New Roman"/>
                <w:color w:val="000000"/>
                <w:sz w:val="24"/>
                <w:szCs w:val="24"/>
              </w:rPr>
              <w:t>121</w:t>
            </w:r>
          </w:p>
        </w:tc>
      </w:tr>
      <w:tr w:rsidR="00707EA9" w:rsidRPr="00707EA9" w:rsidTr="00707EA9">
        <w:tc>
          <w:tcPr>
            <w:tcW w:w="2376" w:type="dxa"/>
            <w:vAlign w:val="center"/>
          </w:tcPr>
          <w:p w:rsidR="00707EA9" w:rsidRPr="00707EA9" w:rsidRDefault="00707EA9" w:rsidP="00707EA9">
            <w:pPr>
              <w:jc w:val="center"/>
              <w:rPr>
                <w:rFonts w:ascii="Times New Roman" w:hAnsi="Times New Roman" w:cs="Times New Roman"/>
                <w:sz w:val="24"/>
                <w:szCs w:val="24"/>
              </w:rPr>
            </w:pPr>
            <w:r w:rsidRPr="00707EA9">
              <w:rPr>
                <w:rFonts w:ascii="Times New Roman" w:hAnsi="Times New Roman" w:cs="Times New Roman"/>
                <w:sz w:val="24"/>
                <w:szCs w:val="24"/>
              </w:rPr>
              <w:t>összesen</w:t>
            </w:r>
          </w:p>
        </w:tc>
        <w:tc>
          <w:tcPr>
            <w:tcW w:w="3507" w:type="dxa"/>
            <w:vAlign w:val="center"/>
          </w:tcPr>
          <w:p w:rsidR="00707EA9" w:rsidRPr="00707EA9" w:rsidRDefault="00707EA9" w:rsidP="00707EA9">
            <w:pPr>
              <w:jc w:val="center"/>
              <w:rPr>
                <w:rFonts w:ascii="Times New Roman" w:hAnsi="Times New Roman" w:cs="Times New Roman"/>
                <w:color w:val="000000"/>
                <w:sz w:val="24"/>
                <w:szCs w:val="24"/>
              </w:rPr>
            </w:pPr>
            <w:r w:rsidRPr="00707EA9">
              <w:rPr>
                <w:rFonts w:ascii="Times New Roman" w:hAnsi="Times New Roman" w:cs="Times New Roman"/>
                <w:color w:val="000000"/>
                <w:sz w:val="24"/>
                <w:szCs w:val="24"/>
              </w:rPr>
              <w:t>1110</w:t>
            </w:r>
          </w:p>
        </w:tc>
        <w:tc>
          <w:tcPr>
            <w:tcW w:w="3581" w:type="dxa"/>
            <w:vAlign w:val="center"/>
          </w:tcPr>
          <w:p w:rsidR="00707EA9" w:rsidRPr="00707EA9" w:rsidRDefault="00707EA9" w:rsidP="00707EA9">
            <w:pPr>
              <w:jc w:val="center"/>
              <w:rPr>
                <w:rFonts w:ascii="Times New Roman" w:hAnsi="Times New Roman" w:cs="Times New Roman"/>
                <w:color w:val="000000"/>
                <w:sz w:val="24"/>
                <w:szCs w:val="24"/>
              </w:rPr>
            </w:pPr>
            <w:r w:rsidRPr="00707EA9">
              <w:rPr>
                <w:rFonts w:ascii="Times New Roman" w:hAnsi="Times New Roman" w:cs="Times New Roman"/>
                <w:color w:val="000000"/>
                <w:sz w:val="24"/>
                <w:szCs w:val="24"/>
              </w:rPr>
              <w:t>320</w:t>
            </w:r>
          </w:p>
        </w:tc>
      </w:tr>
    </w:tbl>
    <w:p w:rsidR="00692543" w:rsidRDefault="00692543" w:rsidP="004A3B24">
      <w:pPr>
        <w:jc w:val="both"/>
        <w:rPr>
          <w:rFonts w:ascii="Times New Roman" w:hAnsi="Times New Roman" w:cs="Times New Roman"/>
          <w:sz w:val="24"/>
          <w:szCs w:val="24"/>
        </w:rPr>
      </w:pPr>
    </w:p>
    <w:p w:rsidR="00707EA9" w:rsidRDefault="00707EA9" w:rsidP="004A3B24">
      <w:pPr>
        <w:jc w:val="both"/>
        <w:rPr>
          <w:rFonts w:ascii="Times New Roman" w:hAnsi="Times New Roman" w:cs="Times New Roman"/>
          <w:sz w:val="24"/>
          <w:szCs w:val="24"/>
        </w:rPr>
      </w:pPr>
      <w:r>
        <w:rPr>
          <w:rFonts w:ascii="Times New Roman" w:hAnsi="Times New Roman" w:cs="Times New Roman"/>
          <w:sz w:val="24"/>
          <w:szCs w:val="24"/>
        </w:rPr>
        <w:t>Az adatokból jól látható, hogy a Tótkomlósi ügyeleti központ az összes ellátott beteg csak 25% körüli részét látja el, mindezt ráadásul úgy, hogy fenti számú beteg ellátását az Orosházi központ is biztonsággal el tudná végezni. Még szembetűnőbb az aránytalanság, ha az átlagos napi betegforgalmat vizsgáljuk, mely a Tótkomlósi ügyelet esetében hétköznapokon mindössze 2,3 beteg/ügyelet, hétvégén pedig alig 8,1 beteg/ügyelet!</w:t>
      </w:r>
    </w:p>
    <w:p w:rsidR="00707EA9" w:rsidRDefault="00707EA9" w:rsidP="004A3B24">
      <w:pPr>
        <w:jc w:val="both"/>
        <w:rPr>
          <w:rFonts w:ascii="Times New Roman" w:hAnsi="Times New Roman" w:cs="Times New Roman"/>
          <w:sz w:val="24"/>
          <w:szCs w:val="24"/>
        </w:rPr>
      </w:pPr>
      <w:r>
        <w:rPr>
          <w:rFonts w:ascii="Times New Roman" w:hAnsi="Times New Roman" w:cs="Times New Roman"/>
          <w:sz w:val="24"/>
          <w:szCs w:val="24"/>
        </w:rPr>
        <w:t>Az egyes településekről ellátott betegek tekintetében az alábbi trend figyelhető meg:</w:t>
      </w:r>
    </w:p>
    <w:tbl>
      <w:tblPr>
        <w:tblStyle w:val="Rcsostblzat"/>
        <w:tblW w:w="0" w:type="auto"/>
        <w:tblLook w:val="04A0"/>
      </w:tblPr>
      <w:tblGrid>
        <w:gridCol w:w="3070"/>
        <w:gridCol w:w="3071"/>
        <w:gridCol w:w="3071"/>
      </w:tblGrid>
      <w:tr w:rsidR="00707EA9" w:rsidRPr="00C65D8E" w:rsidTr="00C65D8E">
        <w:tc>
          <w:tcPr>
            <w:tcW w:w="3070" w:type="dxa"/>
            <w:vAlign w:val="center"/>
          </w:tcPr>
          <w:p w:rsidR="00707EA9" w:rsidRPr="00C65D8E" w:rsidRDefault="00707EA9" w:rsidP="00C65D8E">
            <w:pPr>
              <w:jc w:val="center"/>
              <w:rPr>
                <w:rFonts w:ascii="Times New Roman" w:hAnsi="Times New Roman" w:cs="Times New Roman"/>
                <w:sz w:val="24"/>
                <w:szCs w:val="24"/>
              </w:rPr>
            </w:pPr>
          </w:p>
        </w:tc>
        <w:tc>
          <w:tcPr>
            <w:tcW w:w="3071" w:type="dxa"/>
            <w:vAlign w:val="center"/>
          </w:tcPr>
          <w:p w:rsidR="00707EA9" w:rsidRPr="00C65D8E" w:rsidRDefault="00707EA9" w:rsidP="00C65D8E">
            <w:pPr>
              <w:jc w:val="center"/>
              <w:rPr>
                <w:rFonts w:ascii="Times New Roman" w:hAnsi="Times New Roman" w:cs="Times New Roman"/>
                <w:sz w:val="24"/>
                <w:szCs w:val="24"/>
              </w:rPr>
            </w:pPr>
            <w:r w:rsidRPr="00C65D8E">
              <w:rPr>
                <w:rFonts w:ascii="Times New Roman" w:hAnsi="Times New Roman" w:cs="Times New Roman"/>
                <w:sz w:val="24"/>
                <w:szCs w:val="24"/>
              </w:rPr>
              <w:t>betegszám</w:t>
            </w:r>
          </w:p>
        </w:tc>
        <w:tc>
          <w:tcPr>
            <w:tcW w:w="3071" w:type="dxa"/>
            <w:vAlign w:val="center"/>
          </w:tcPr>
          <w:p w:rsidR="00707EA9" w:rsidRPr="00C65D8E" w:rsidRDefault="00707EA9" w:rsidP="00C65D8E">
            <w:pPr>
              <w:jc w:val="center"/>
              <w:rPr>
                <w:rFonts w:ascii="Times New Roman" w:hAnsi="Times New Roman" w:cs="Times New Roman"/>
                <w:sz w:val="24"/>
                <w:szCs w:val="24"/>
              </w:rPr>
            </w:pPr>
            <w:r w:rsidRPr="00C65D8E">
              <w:rPr>
                <w:rFonts w:ascii="Times New Roman" w:hAnsi="Times New Roman" w:cs="Times New Roman"/>
                <w:sz w:val="24"/>
                <w:szCs w:val="24"/>
              </w:rPr>
              <w:t>eset/1000 lakos/év</w:t>
            </w:r>
          </w:p>
        </w:tc>
      </w:tr>
      <w:tr w:rsidR="00C65D8E" w:rsidRPr="00C65D8E" w:rsidTr="00C65D8E">
        <w:tc>
          <w:tcPr>
            <w:tcW w:w="3070" w:type="dxa"/>
            <w:vAlign w:val="center"/>
          </w:tcPr>
          <w:p w:rsidR="00C65D8E" w:rsidRPr="00C65D8E" w:rsidRDefault="00C65D8E" w:rsidP="00C65D8E">
            <w:pPr>
              <w:jc w:val="center"/>
              <w:rPr>
                <w:rFonts w:ascii="Times New Roman" w:hAnsi="Times New Roman" w:cs="Times New Roman"/>
                <w:color w:val="000000"/>
                <w:sz w:val="24"/>
                <w:szCs w:val="24"/>
              </w:rPr>
            </w:pPr>
            <w:r w:rsidRPr="00C65D8E">
              <w:rPr>
                <w:rFonts w:ascii="Times New Roman" w:hAnsi="Times New Roman" w:cs="Times New Roman"/>
                <w:color w:val="000000"/>
                <w:sz w:val="24"/>
                <w:szCs w:val="24"/>
              </w:rPr>
              <w:t>Csorvás</w:t>
            </w:r>
          </w:p>
        </w:tc>
        <w:tc>
          <w:tcPr>
            <w:tcW w:w="3071" w:type="dxa"/>
            <w:vAlign w:val="center"/>
          </w:tcPr>
          <w:p w:rsidR="00C65D8E" w:rsidRPr="00C65D8E" w:rsidRDefault="00C65D8E" w:rsidP="00C65D8E">
            <w:pPr>
              <w:jc w:val="center"/>
              <w:rPr>
                <w:rFonts w:ascii="Times New Roman" w:hAnsi="Times New Roman" w:cs="Times New Roman"/>
                <w:color w:val="000000"/>
                <w:sz w:val="24"/>
                <w:szCs w:val="24"/>
              </w:rPr>
            </w:pPr>
            <w:r w:rsidRPr="00C65D8E">
              <w:rPr>
                <w:rFonts w:ascii="Times New Roman" w:hAnsi="Times New Roman" w:cs="Times New Roman"/>
                <w:color w:val="000000"/>
                <w:sz w:val="24"/>
                <w:szCs w:val="24"/>
              </w:rPr>
              <w:t>45</w:t>
            </w:r>
          </w:p>
        </w:tc>
        <w:tc>
          <w:tcPr>
            <w:tcW w:w="3071" w:type="dxa"/>
            <w:vAlign w:val="center"/>
          </w:tcPr>
          <w:p w:rsidR="00C65D8E" w:rsidRPr="00C65D8E" w:rsidRDefault="00C65D8E" w:rsidP="00C65D8E">
            <w:pPr>
              <w:jc w:val="center"/>
              <w:rPr>
                <w:rFonts w:ascii="Times New Roman" w:hAnsi="Times New Roman" w:cs="Times New Roman"/>
                <w:color w:val="000000"/>
                <w:sz w:val="24"/>
                <w:szCs w:val="24"/>
              </w:rPr>
            </w:pPr>
            <w:r w:rsidRPr="00C65D8E">
              <w:rPr>
                <w:rFonts w:ascii="Times New Roman" w:hAnsi="Times New Roman" w:cs="Times New Roman"/>
                <w:color w:val="000000"/>
                <w:sz w:val="24"/>
                <w:szCs w:val="24"/>
              </w:rPr>
              <w:t>38,</w:t>
            </w:r>
            <w:r>
              <w:rPr>
                <w:rFonts w:ascii="Times New Roman" w:hAnsi="Times New Roman" w:cs="Times New Roman"/>
                <w:color w:val="000000"/>
                <w:sz w:val="24"/>
                <w:szCs w:val="24"/>
              </w:rPr>
              <w:t>5</w:t>
            </w:r>
          </w:p>
        </w:tc>
      </w:tr>
      <w:tr w:rsidR="00C65D8E" w:rsidRPr="00C65D8E" w:rsidTr="00C65D8E">
        <w:tc>
          <w:tcPr>
            <w:tcW w:w="3070" w:type="dxa"/>
            <w:vAlign w:val="center"/>
          </w:tcPr>
          <w:p w:rsidR="00C65D8E" w:rsidRPr="00C65D8E" w:rsidRDefault="00C65D8E" w:rsidP="00C65D8E">
            <w:pPr>
              <w:jc w:val="center"/>
              <w:rPr>
                <w:rFonts w:ascii="Times New Roman" w:hAnsi="Times New Roman" w:cs="Times New Roman"/>
                <w:color w:val="000000"/>
                <w:sz w:val="24"/>
                <w:szCs w:val="24"/>
              </w:rPr>
            </w:pPr>
            <w:r w:rsidRPr="00C65D8E">
              <w:rPr>
                <w:rFonts w:ascii="Times New Roman" w:hAnsi="Times New Roman" w:cs="Times New Roman"/>
                <w:color w:val="000000"/>
                <w:sz w:val="24"/>
                <w:szCs w:val="24"/>
              </w:rPr>
              <w:t>Gádoros</w:t>
            </w:r>
          </w:p>
        </w:tc>
        <w:tc>
          <w:tcPr>
            <w:tcW w:w="3071" w:type="dxa"/>
            <w:vAlign w:val="center"/>
          </w:tcPr>
          <w:p w:rsidR="00C65D8E" w:rsidRPr="00C65D8E" w:rsidRDefault="00C65D8E" w:rsidP="00C65D8E">
            <w:pPr>
              <w:jc w:val="center"/>
              <w:rPr>
                <w:rFonts w:ascii="Times New Roman" w:hAnsi="Times New Roman" w:cs="Times New Roman"/>
                <w:color w:val="000000"/>
                <w:sz w:val="24"/>
                <w:szCs w:val="24"/>
              </w:rPr>
            </w:pPr>
            <w:r w:rsidRPr="00C65D8E">
              <w:rPr>
                <w:rFonts w:ascii="Times New Roman" w:hAnsi="Times New Roman" w:cs="Times New Roman"/>
                <w:color w:val="000000"/>
                <w:sz w:val="24"/>
                <w:szCs w:val="24"/>
              </w:rPr>
              <w:t>41</w:t>
            </w:r>
          </w:p>
        </w:tc>
        <w:tc>
          <w:tcPr>
            <w:tcW w:w="3071" w:type="dxa"/>
            <w:vAlign w:val="center"/>
          </w:tcPr>
          <w:p w:rsidR="00C65D8E" w:rsidRPr="00C65D8E" w:rsidRDefault="00C65D8E" w:rsidP="00C65D8E">
            <w:pPr>
              <w:jc w:val="center"/>
              <w:rPr>
                <w:rFonts w:ascii="Times New Roman" w:hAnsi="Times New Roman" w:cs="Times New Roman"/>
                <w:color w:val="000000"/>
                <w:sz w:val="24"/>
                <w:szCs w:val="24"/>
              </w:rPr>
            </w:pPr>
            <w:r w:rsidRPr="00C65D8E">
              <w:rPr>
                <w:rFonts w:ascii="Times New Roman" w:hAnsi="Times New Roman" w:cs="Times New Roman"/>
                <w:color w:val="000000"/>
                <w:sz w:val="24"/>
                <w:szCs w:val="24"/>
              </w:rPr>
              <w:t>48,1</w:t>
            </w:r>
          </w:p>
        </w:tc>
      </w:tr>
      <w:tr w:rsidR="00C65D8E" w:rsidRPr="00C65D8E" w:rsidTr="00C65D8E">
        <w:tc>
          <w:tcPr>
            <w:tcW w:w="3070" w:type="dxa"/>
            <w:vAlign w:val="center"/>
          </w:tcPr>
          <w:p w:rsidR="00C65D8E" w:rsidRPr="00C65D8E" w:rsidRDefault="00C65D8E" w:rsidP="00C65D8E">
            <w:pPr>
              <w:jc w:val="center"/>
              <w:rPr>
                <w:rFonts w:ascii="Times New Roman" w:hAnsi="Times New Roman" w:cs="Times New Roman"/>
                <w:color w:val="000000"/>
                <w:sz w:val="24"/>
                <w:szCs w:val="24"/>
              </w:rPr>
            </w:pPr>
            <w:r w:rsidRPr="00C65D8E">
              <w:rPr>
                <w:rFonts w:ascii="Times New Roman" w:hAnsi="Times New Roman" w:cs="Times New Roman"/>
                <w:color w:val="000000"/>
                <w:sz w:val="24"/>
                <w:szCs w:val="24"/>
              </w:rPr>
              <w:t>Gerendás</w:t>
            </w:r>
          </w:p>
        </w:tc>
        <w:tc>
          <w:tcPr>
            <w:tcW w:w="3071" w:type="dxa"/>
            <w:vAlign w:val="center"/>
          </w:tcPr>
          <w:p w:rsidR="00C65D8E" w:rsidRPr="00C65D8E" w:rsidRDefault="00C65D8E" w:rsidP="00C65D8E">
            <w:pPr>
              <w:jc w:val="center"/>
              <w:rPr>
                <w:rFonts w:ascii="Times New Roman" w:hAnsi="Times New Roman" w:cs="Times New Roman"/>
                <w:color w:val="000000"/>
                <w:sz w:val="24"/>
                <w:szCs w:val="24"/>
              </w:rPr>
            </w:pPr>
            <w:r w:rsidRPr="00C65D8E">
              <w:rPr>
                <w:rFonts w:ascii="Times New Roman" w:hAnsi="Times New Roman" w:cs="Times New Roman"/>
                <w:color w:val="000000"/>
                <w:sz w:val="24"/>
                <w:szCs w:val="24"/>
              </w:rPr>
              <w:t>16</w:t>
            </w:r>
          </w:p>
        </w:tc>
        <w:tc>
          <w:tcPr>
            <w:tcW w:w="3071" w:type="dxa"/>
            <w:vAlign w:val="center"/>
          </w:tcPr>
          <w:p w:rsidR="00C65D8E" w:rsidRPr="00C65D8E" w:rsidRDefault="00C65D8E" w:rsidP="00C65D8E">
            <w:pPr>
              <w:jc w:val="center"/>
              <w:rPr>
                <w:rFonts w:ascii="Times New Roman" w:hAnsi="Times New Roman" w:cs="Times New Roman"/>
                <w:color w:val="000000"/>
                <w:sz w:val="24"/>
                <w:szCs w:val="24"/>
              </w:rPr>
            </w:pPr>
            <w:r w:rsidRPr="00C65D8E">
              <w:rPr>
                <w:rFonts w:ascii="Times New Roman" w:hAnsi="Times New Roman" w:cs="Times New Roman"/>
                <w:color w:val="000000"/>
                <w:sz w:val="24"/>
                <w:szCs w:val="24"/>
              </w:rPr>
              <w:t>53,2</w:t>
            </w:r>
          </w:p>
        </w:tc>
      </w:tr>
      <w:tr w:rsidR="00C65D8E" w:rsidRPr="00C65D8E" w:rsidTr="00C65D8E">
        <w:tc>
          <w:tcPr>
            <w:tcW w:w="3070" w:type="dxa"/>
            <w:vAlign w:val="center"/>
          </w:tcPr>
          <w:p w:rsidR="00C65D8E" w:rsidRPr="00C65D8E" w:rsidRDefault="00C65D8E" w:rsidP="00C65D8E">
            <w:pPr>
              <w:jc w:val="center"/>
              <w:rPr>
                <w:rFonts w:ascii="Times New Roman" w:hAnsi="Times New Roman" w:cs="Times New Roman"/>
                <w:color w:val="000000"/>
                <w:sz w:val="24"/>
                <w:szCs w:val="24"/>
              </w:rPr>
            </w:pPr>
            <w:r w:rsidRPr="00C65D8E">
              <w:rPr>
                <w:rFonts w:ascii="Times New Roman" w:hAnsi="Times New Roman" w:cs="Times New Roman"/>
                <w:color w:val="000000"/>
                <w:sz w:val="24"/>
                <w:szCs w:val="24"/>
              </w:rPr>
              <w:t>Nagyszénás</w:t>
            </w:r>
          </w:p>
        </w:tc>
        <w:tc>
          <w:tcPr>
            <w:tcW w:w="3071" w:type="dxa"/>
            <w:vAlign w:val="center"/>
          </w:tcPr>
          <w:p w:rsidR="00C65D8E" w:rsidRPr="00C65D8E" w:rsidRDefault="00C65D8E" w:rsidP="00C65D8E">
            <w:pPr>
              <w:jc w:val="center"/>
              <w:rPr>
                <w:rFonts w:ascii="Times New Roman" w:hAnsi="Times New Roman" w:cs="Times New Roman"/>
                <w:color w:val="000000"/>
                <w:sz w:val="24"/>
                <w:szCs w:val="24"/>
              </w:rPr>
            </w:pPr>
            <w:r w:rsidRPr="00C65D8E">
              <w:rPr>
                <w:rFonts w:ascii="Times New Roman" w:hAnsi="Times New Roman" w:cs="Times New Roman"/>
                <w:color w:val="000000"/>
                <w:sz w:val="24"/>
                <w:szCs w:val="24"/>
              </w:rPr>
              <w:t>54</w:t>
            </w:r>
          </w:p>
        </w:tc>
        <w:tc>
          <w:tcPr>
            <w:tcW w:w="3071" w:type="dxa"/>
            <w:vAlign w:val="center"/>
          </w:tcPr>
          <w:p w:rsidR="00C65D8E" w:rsidRPr="00C65D8E" w:rsidRDefault="00C65D8E" w:rsidP="00C65D8E">
            <w:pPr>
              <w:jc w:val="center"/>
              <w:rPr>
                <w:rFonts w:ascii="Times New Roman" w:hAnsi="Times New Roman" w:cs="Times New Roman"/>
                <w:color w:val="000000"/>
                <w:sz w:val="24"/>
                <w:szCs w:val="24"/>
              </w:rPr>
            </w:pPr>
            <w:r w:rsidRPr="00C65D8E">
              <w:rPr>
                <w:rFonts w:ascii="Times New Roman" w:hAnsi="Times New Roman" w:cs="Times New Roman"/>
                <w:color w:val="000000"/>
                <w:sz w:val="24"/>
                <w:szCs w:val="24"/>
              </w:rPr>
              <w:t>47,</w:t>
            </w:r>
            <w:r>
              <w:rPr>
                <w:rFonts w:ascii="Times New Roman" w:hAnsi="Times New Roman" w:cs="Times New Roman"/>
                <w:color w:val="000000"/>
                <w:sz w:val="24"/>
                <w:szCs w:val="24"/>
              </w:rPr>
              <w:t>3</w:t>
            </w:r>
          </w:p>
        </w:tc>
      </w:tr>
      <w:tr w:rsidR="00C65D8E" w:rsidRPr="00C65D8E" w:rsidTr="00C65D8E">
        <w:tc>
          <w:tcPr>
            <w:tcW w:w="3070" w:type="dxa"/>
            <w:vAlign w:val="center"/>
          </w:tcPr>
          <w:p w:rsidR="00C65D8E" w:rsidRPr="00C65D8E" w:rsidRDefault="00C65D8E" w:rsidP="00C65D8E">
            <w:pPr>
              <w:jc w:val="center"/>
              <w:rPr>
                <w:rFonts w:ascii="Times New Roman" w:hAnsi="Times New Roman" w:cs="Times New Roman"/>
                <w:color w:val="000000"/>
                <w:sz w:val="24"/>
                <w:szCs w:val="24"/>
              </w:rPr>
            </w:pPr>
            <w:r w:rsidRPr="00C65D8E">
              <w:rPr>
                <w:rFonts w:ascii="Times New Roman" w:hAnsi="Times New Roman" w:cs="Times New Roman"/>
                <w:color w:val="000000"/>
                <w:sz w:val="24"/>
                <w:szCs w:val="24"/>
              </w:rPr>
              <w:t>Orosháza</w:t>
            </w:r>
          </w:p>
        </w:tc>
        <w:tc>
          <w:tcPr>
            <w:tcW w:w="3071" w:type="dxa"/>
            <w:vAlign w:val="center"/>
          </w:tcPr>
          <w:p w:rsidR="00C65D8E" w:rsidRPr="00C65D8E" w:rsidRDefault="00C65D8E" w:rsidP="00C65D8E">
            <w:pPr>
              <w:jc w:val="center"/>
              <w:rPr>
                <w:rFonts w:ascii="Times New Roman" w:hAnsi="Times New Roman" w:cs="Times New Roman"/>
                <w:color w:val="000000"/>
                <w:sz w:val="24"/>
                <w:szCs w:val="24"/>
              </w:rPr>
            </w:pPr>
            <w:r w:rsidRPr="00C65D8E">
              <w:rPr>
                <w:rFonts w:ascii="Times New Roman" w:hAnsi="Times New Roman" w:cs="Times New Roman"/>
                <w:color w:val="000000"/>
                <w:sz w:val="24"/>
                <w:szCs w:val="24"/>
              </w:rPr>
              <w:t>545</w:t>
            </w:r>
          </w:p>
        </w:tc>
        <w:tc>
          <w:tcPr>
            <w:tcW w:w="3071" w:type="dxa"/>
            <w:vAlign w:val="center"/>
          </w:tcPr>
          <w:p w:rsidR="00C65D8E" w:rsidRPr="00C65D8E" w:rsidRDefault="00C65D8E" w:rsidP="00C65D8E">
            <w:pPr>
              <w:jc w:val="center"/>
              <w:rPr>
                <w:rFonts w:ascii="Times New Roman" w:hAnsi="Times New Roman" w:cs="Times New Roman"/>
                <w:color w:val="000000"/>
                <w:sz w:val="24"/>
                <w:szCs w:val="24"/>
              </w:rPr>
            </w:pPr>
            <w:r w:rsidRPr="00C65D8E">
              <w:rPr>
                <w:rFonts w:ascii="Times New Roman" w:hAnsi="Times New Roman" w:cs="Times New Roman"/>
                <w:color w:val="000000"/>
                <w:sz w:val="24"/>
                <w:szCs w:val="24"/>
              </w:rPr>
              <w:t>84,</w:t>
            </w:r>
            <w:r>
              <w:rPr>
                <w:rFonts w:ascii="Times New Roman" w:hAnsi="Times New Roman" w:cs="Times New Roman"/>
                <w:color w:val="000000"/>
                <w:sz w:val="24"/>
                <w:szCs w:val="24"/>
              </w:rPr>
              <w:t>1</w:t>
            </w:r>
          </w:p>
        </w:tc>
      </w:tr>
      <w:tr w:rsidR="00C65D8E" w:rsidRPr="00C65D8E" w:rsidTr="00C65D8E">
        <w:tc>
          <w:tcPr>
            <w:tcW w:w="3070" w:type="dxa"/>
            <w:vAlign w:val="center"/>
          </w:tcPr>
          <w:p w:rsidR="00C65D8E" w:rsidRPr="00C65D8E" w:rsidRDefault="00C65D8E" w:rsidP="00C65D8E">
            <w:pPr>
              <w:jc w:val="center"/>
              <w:rPr>
                <w:rFonts w:ascii="Times New Roman" w:hAnsi="Times New Roman" w:cs="Times New Roman"/>
                <w:color w:val="000000"/>
                <w:sz w:val="24"/>
                <w:szCs w:val="24"/>
              </w:rPr>
            </w:pPr>
            <w:r w:rsidRPr="00C65D8E">
              <w:rPr>
                <w:rFonts w:ascii="Times New Roman" w:hAnsi="Times New Roman" w:cs="Times New Roman"/>
                <w:color w:val="000000"/>
                <w:sz w:val="24"/>
                <w:szCs w:val="24"/>
              </w:rPr>
              <w:t>Pusztaföldvár</w:t>
            </w:r>
          </w:p>
        </w:tc>
        <w:tc>
          <w:tcPr>
            <w:tcW w:w="3071" w:type="dxa"/>
            <w:vAlign w:val="center"/>
          </w:tcPr>
          <w:p w:rsidR="00C65D8E" w:rsidRPr="00C65D8E" w:rsidRDefault="00C65D8E" w:rsidP="00C65D8E">
            <w:pPr>
              <w:jc w:val="center"/>
              <w:rPr>
                <w:rFonts w:ascii="Times New Roman" w:hAnsi="Times New Roman" w:cs="Times New Roman"/>
                <w:color w:val="000000"/>
                <w:sz w:val="24"/>
                <w:szCs w:val="24"/>
              </w:rPr>
            </w:pPr>
            <w:r w:rsidRPr="00C65D8E">
              <w:rPr>
                <w:rFonts w:ascii="Times New Roman" w:hAnsi="Times New Roman" w:cs="Times New Roman"/>
                <w:color w:val="000000"/>
                <w:sz w:val="24"/>
                <w:szCs w:val="24"/>
              </w:rPr>
              <w:t>32</w:t>
            </w:r>
          </w:p>
        </w:tc>
        <w:tc>
          <w:tcPr>
            <w:tcW w:w="3071" w:type="dxa"/>
            <w:vAlign w:val="center"/>
          </w:tcPr>
          <w:p w:rsidR="00C65D8E" w:rsidRPr="00C65D8E" w:rsidRDefault="00C65D8E" w:rsidP="00C65D8E">
            <w:pPr>
              <w:jc w:val="center"/>
              <w:rPr>
                <w:rFonts w:ascii="Times New Roman" w:hAnsi="Times New Roman" w:cs="Times New Roman"/>
                <w:color w:val="000000"/>
                <w:sz w:val="24"/>
                <w:szCs w:val="24"/>
              </w:rPr>
            </w:pPr>
            <w:r w:rsidRPr="00C65D8E">
              <w:rPr>
                <w:rFonts w:ascii="Times New Roman" w:hAnsi="Times New Roman" w:cs="Times New Roman"/>
                <w:color w:val="000000"/>
                <w:sz w:val="24"/>
                <w:szCs w:val="24"/>
              </w:rPr>
              <w:t>79,</w:t>
            </w:r>
            <w:r>
              <w:rPr>
                <w:rFonts w:ascii="Times New Roman" w:hAnsi="Times New Roman" w:cs="Times New Roman"/>
                <w:color w:val="000000"/>
                <w:sz w:val="24"/>
                <w:szCs w:val="24"/>
              </w:rPr>
              <w:t>1</w:t>
            </w:r>
          </w:p>
        </w:tc>
      </w:tr>
      <w:tr w:rsidR="00C65D8E" w:rsidRPr="00C65D8E" w:rsidTr="00C65D8E">
        <w:tc>
          <w:tcPr>
            <w:tcW w:w="3070" w:type="dxa"/>
            <w:vAlign w:val="center"/>
          </w:tcPr>
          <w:p w:rsidR="00C65D8E" w:rsidRPr="00C65D8E" w:rsidRDefault="00C65D8E" w:rsidP="00C65D8E">
            <w:pPr>
              <w:jc w:val="center"/>
              <w:rPr>
                <w:rFonts w:ascii="Times New Roman" w:hAnsi="Times New Roman" w:cs="Times New Roman"/>
                <w:color w:val="000000"/>
                <w:sz w:val="24"/>
                <w:szCs w:val="24"/>
              </w:rPr>
            </w:pPr>
            <w:r w:rsidRPr="00C65D8E">
              <w:rPr>
                <w:rFonts w:ascii="Times New Roman" w:hAnsi="Times New Roman" w:cs="Times New Roman"/>
                <w:color w:val="000000"/>
                <w:sz w:val="24"/>
                <w:szCs w:val="24"/>
              </w:rPr>
              <w:t>Egyéb</w:t>
            </w:r>
          </w:p>
        </w:tc>
        <w:tc>
          <w:tcPr>
            <w:tcW w:w="3071" w:type="dxa"/>
            <w:vAlign w:val="center"/>
          </w:tcPr>
          <w:p w:rsidR="00C65D8E" w:rsidRPr="00C65D8E" w:rsidRDefault="00C65D8E" w:rsidP="00C65D8E">
            <w:pPr>
              <w:jc w:val="center"/>
              <w:rPr>
                <w:rFonts w:ascii="Times New Roman" w:hAnsi="Times New Roman" w:cs="Times New Roman"/>
                <w:color w:val="000000"/>
                <w:sz w:val="24"/>
                <w:szCs w:val="24"/>
              </w:rPr>
            </w:pPr>
            <w:r w:rsidRPr="00C65D8E">
              <w:rPr>
                <w:rFonts w:ascii="Times New Roman" w:hAnsi="Times New Roman" w:cs="Times New Roman"/>
                <w:color w:val="000000"/>
                <w:sz w:val="24"/>
                <w:szCs w:val="24"/>
              </w:rPr>
              <w:t>57</w:t>
            </w:r>
          </w:p>
        </w:tc>
        <w:tc>
          <w:tcPr>
            <w:tcW w:w="3071" w:type="dxa"/>
            <w:vAlign w:val="center"/>
          </w:tcPr>
          <w:p w:rsidR="00C65D8E" w:rsidRPr="00C65D8E" w:rsidRDefault="00C65D8E" w:rsidP="00C65D8E">
            <w:pPr>
              <w:jc w:val="center"/>
              <w:rPr>
                <w:rFonts w:ascii="Times New Roman" w:hAnsi="Times New Roman" w:cs="Times New Roman"/>
                <w:color w:val="000000"/>
                <w:sz w:val="24"/>
                <w:szCs w:val="24"/>
              </w:rPr>
            </w:pPr>
            <w:r w:rsidRPr="00C65D8E">
              <w:rPr>
                <w:rFonts w:ascii="Times New Roman" w:hAnsi="Times New Roman" w:cs="Times New Roman"/>
                <w:color w:val="000000"/>
                <w:sz w:val="24"/>
                <w:szCs w:val="24"/>
              </w:rPr>
              <w:t>-</w:t>
            </w:r>
          </w:p>
        </w:tc>
      </w:tr>
      <w:tr w:rsidR="00C65D8E" w:rsidRPr="00C65D8E" w:rsidTr="00C65D8E">
        <w:tc>
          <w:tcPr>
            <w:tcW w:w="3070" w:type="dxa"/>
            <w:vAlign w:val="center"/>
          </w:tcPr>
          <w:p w:rsidR="00C65D8E" w:rsidRPr="00C65D8E" w:rsidRDefault="00C65D8E" w:rsidP="00C65D8E">
            <w:pPr>
              <w:jc w:val="center"/>
              <w:rPr>
                <w:rFonts w:ascii="Times New Roman" w:hAnsi="Times New Roman" w:cs="Times New Roman"/>
                <w:color w:val="000000"/>
                <w:sz w:val="24"/>
                <w:szCs w:val="24"/>
              </w:rPr>
            </w:pPr>
            <w:r w:rsidRPr="00C65D8E">
              <w:rPr>
                <w:rFonts w:ascii="Times New Roman" w:hAnsi="Times New Roman" w:cs="Times New Roman"/>
                <w:color w:val="000000"/>
                <w:sz w:val="24"/>
                <w:szCs w:val="24"/>
              </w:rPr>
              <w:t>Békéssámson</w:t>
            </w:r>
          </w:p>
        </w:tc>
        <w:tc>
          <w:tcPr>
            <w:tcW w:w="3071" w:type="dxa"/>
            <w:vAlign w:val="center"/>
          </w:tcPr>
          <w:p w:rsidR="00C65D8E" w:rsidRPr="00C65D8E" w:rsidRDefault="00C65D8E" w:rsidP="00C65D8E">
            <w:pPr>
              <w:jc w:val="center"/>
              <w:rPr>
                <w:rFonts w:ascii="Times New Roman" w:hAnsi="Times New Roman" w:cs="Times New Roman"/>
                <w:color w:val="000000"/>
                <w:sz w:val="24"/>
                <w:szCs w:val="24"/>
              </w:rPr>
            </w:pPr>
            <w:r w:rsidRPr="00C65D8E">
              <w:rPr>
                <w:rFonts w:ascii="Times New Roman" w:hAnsi="Times New Roman" w:cs="Times New Roman"/>
                <w:color w:val="000000"/>
                <w:sz w:val="24"/>
                <w:szCs w:val="24"/>
              </w:rPr>
              <w:t>31</w:t>
            </w:r>
          </w:p>
        </w:tc>
        <w:tc>
          <w:tcPr>
            <w:tcW w:w="3071" w:type="dxa"/>
            <w:vAlign w:val="center"/>
          </w:tcPr>
          <w:p w:rsidR="00C65D8E" w:rsidRPr="00C65D8E" w:rsidRDefault="00C65D8E" w:rsidP="00C65D8E">
            <w:pPr>
              <w:jc w:val="center"/>
              <w:rPr>
                <w:rFonts w:ascii="Times New Roman" w:hAnsi="Times New Roman" w:cs="Times New Roman"/>
                <w:color w:val="000000"/>
                <w:sz w:val="24"/>
                <w:szCs w:val="24"/>
              </w:rPr>
            </w:pPr>
            <w:r w:rsidRPr="00C65D8E">
              <w:rPr>
                <w:rFonts w:ascii="Times New Roman" w:hAnsi="Times New Roman" w:cs="Times New Roman"/>
                <w:color w:val="000000"/>
                <w:sz w:val="24"/>
                <w:szCs w:val="24"/>
              </w:rPr>
              <w:t>60,1</w:t>
            </w:r>
          </w:p>
        </w:tc>
      </w:tr>
      <w:tr w:rsidR="00C65D8E" w:rsidRPr="00C65D8E" w:rsidTr="00C65D8E">
        <w:tc>
          <w:tcPr>
            <w:tcW w:w="3070" w:type="dxa"/>
            <w:vAlign w:val="center"/>
          </w:tcPr>
          <w:p w:rsidR="00C65D8E" w:rsidRPr="00C65D8E" w:rsidRDefault="00C65D8E" w:rsidP="00C65D8E">
            <w:pPr>
              <w:jc w:val="center"/>
              <w:rPr>
                <w:rFonts w:ascii="Times New Roman" w:hAnsi="Times New Roman" w:cs="Times New Roman"/>
                <w:color w:val="000000"/>
                <w:sz w:val="24"/>
                <w:szCs w:val="24"/>
              </w:rPr>
            </w:pPr>
            <w:r w:rsidRPr="00C65D8E">
              <w:rPr>
                <w:rFonts w:ascii="Times New Roman" w:hAnsi="Times New Roman" w:cs="Times New Roman"/>
                <w:color w:val="000000"/>
                <w:sz w:val="24"/>
                <w:szCs w:val="24"/>
              </w:rPr>
              <w:t>Csanádapáca</w:t>
            </w:r>
          </w:p>
        </w:tc>
        <w:tc>
          <w:tcPr>
            <w:tcW w:w="3071" w:type="dxa"/>
            <w:vAlign w:val="center"/>
          </w:tcPr>
          <w:p w:rsidR="00C65D8E" w:rsidRPr="00C65D8E" w:rsidRDefault="00C65D8E" w:rsidP="00C65D8E">
            <w:pPr>
              <w:jc w:val="center"/>
              <w:rPr>
                <w:rFonts w:ascii="Times New Roman" w:hAnsi="Times New Roman" w:cs="Times New Roman"/>
                <w:color w:val="000000"/>
                <w:sz w:val="24"/>
                <w:szCs w:val="24"/>
              </w:rPr>
            </w:pPr>
            <w:r w:rsidRPr="00C65D8E">
              <w:rPr>
                <w:rFonts w:ascii="Times New Roman" w:hAnsi="Times New Roman" w:cs="Times New Roman"/>
                <w:color w:val="000000"/>
                <w:sz w:val="24"/>
                <w:szCs w:val="24"/>
              </w:rPr>
              <w:t>17</w:t>
            </w:r>
          </w:p>
        </w:tc>
        <w:tc>
          <w:tcPr>
            <w:tcW w:w="3071" w:type="dxa"/>
            <w:vAlign w:val="center"/>
          </w:tcPr>
          <w:p w:rsidR="00C65D8E" w:rsidRPr="00C65D8E" w:rsidRDefault="00C65D8E" w:rsidP="00C65D8E">
            <w:pPr>
              <w:jc w:val="center"/>
              <w:rPr>
                <w:rFonts w:ascii="Times New Roman" w:hAnsi="Times New Roman" w:cs="Times New Roman"/>
                <w:color w:val="000000"/>
                <w:sz w:val="24"/>
                <w:szCs w:val="24"/>
              </w:rPr>
            </w:pPr>
            <w:r w:rsidRPr="00C65D8E">
              <w:rPr>
                <w:rFonts w:ascii="Times New Roman" w:hAnsi="Times New Roman" w:cs="Times New Roman"/>
                <w:color w:val="000000"/>
                <w:sz w:val="24"/>
                <w:szCs w:val="24"/>
              </w:rPr>
              <w:t>28,8</w:t>
            </w:r>
          </w:p>
        </w:tc>
      </w:tr>
      <w:tr w:rsidR="00C65D8E" w:rsidRPr="00C65D8E" w:rsidTr="00C65D8E">
        <w:tc>
          <w:tcPr>
            <w:tcW w:w="3070" w:type="dxa"/>
            <w:vAlign w:val="center"/>
          </w:tcPr>
          <w:p w:rsidR="00C65D8E" w:rsidRPr="00C65D8E" w:rsidRDefault="00C65D8E" w:rsidP="00C65D8E">
            <w:pPr>
              <w:jc w:val="center"/>
              <w:rPr>
                <w:rFonts w:ascii="Times New Roman" w:hAnsi="Times New Roman" w:cs="Times New Roman"/>
                <w:color w:val="000000"/>
                <w:sz w:val="24"/>
                <w:szCs w:val="24"/>
              </w:rPr>
            </w:pPr>
            <w:r w:rsidRPr="00C65D8E">
              <w:rPr>
                <w:rFonts w:ascii="Times New Roman" w:hAnsi="Times New Roman" w:cs="Times New Roman"/>
                <w:color w:val="000000"/>
                <w:sz w:val="24"/>
                <w:szCs w:val="24"/>
              </w:rPr>
              <w:t>Kardoskút</w:t>
            </w:r>
          </w:p>
        </w:tc>
        <w:tc>
          <w:tcPr>
            <w:tcW w:w="3071" w:type="dxa"/>
            <w:vAlign w:val="center"/>
          </w:tcPr>
          <w:p w:rsidR="00C65D8E" w:rsidRPr="00C65D8E" w:rsidRDefault="00C65D8E" w:rsidP="00C65D8E">
            <w:pPr>
              <w:jc w:val="center"/>
              <w:rPr>
                <w:rFonts w:ascii="Times New Roman" w:hAnsi="Times New Roman" w:cs="Times New Roman"/>
                <w:color w:val="000000"/>
                <w:sz w:val="24"/>
                <w:szCs w:val="24"/>
              </w:rPr>
            </w:pPr>
            <w:r w:rsidRPr="00C65D8E">
              <w:rPr>
                <w:rFonts w:ascii="Times New Roman" w:hAnsi="Times New Roman" w:cs="Times New Roman"/>
                <w:color w:val="000000"/>
                <w:sz w:val="24"/>
                <w:szCs w:val="24"/>
              </w:rPr>
              <w:t>6</w:t>
            </w:r>
          </w:p>
        </w:tc>
        <w:tc>
          <w:tcPr>
            <w:tcW w:w="3071" w:type="dxa"/>
            <w:vAlign w:val="center"/>
          </w:tcPr>
          <w:p w:rsidR="00C65D8E" w:rsidRPr="00C65D8E" w:rsidRDefault="00C65D8E" w:rsidP="00C65D8E">
            <w:pPr>
              <w:jc w:val="center"/>
              <w:rPr>
                <w:rFonts w:ascii="Times New Roman" w:hAnsi="Times New Roman" w:cs="Times New Roman"/>
                <w:color w:val="000000"/>
                <w:sz w:val="24"/>
                <w:szCs w:val="24"/>
              </w:rPr>
            </w:pPr>
            <w:r w:rsidRPr="00C65D8E">
              <w:rPr>
                <w:rFonts w:ascii="Times New Roman" w:hAnsi="Times New Roman" w:cs="Times New Roman"/>
                <w:color w:val="000000"/>
                <w:sz w:val="24"/>
                <w:szCs w:val="24"/>
              </w:rPr>
              <w:t>30,</w:t>
            </w:r>
            <w:r>
              <w:rPr>
                <w:rFonts w:ascii="Times New Roman" w:hAnsi="Times New Roman" w:cs="Times New Roman"/>
                <w:color w:val="000000"/>
                <w:sz w:val="24"/>
                <w:szCs w:val="24"/>
              </w:rPr>
              <w:t>7</w:t>
            </w:r>
          </w:p>
        </w:tc>
      </w:tr>
      <w:tr w:rsidR="00C65D8E" w:rsidRPr="00C65D8E" w:rsidTr="00C65D8E">
        <w:tc>
          <w:tcPr>
            <w:tcW w:w="3070" w:type="dxa"/>
            <w:vAlign w:val="center"/>
          </w:tcPr>
          <w:p w:rsidR="00C65D8E" w:rsidRPr="00C65D8E" w:rsidRDefault="00C65D8E" w:rsidP="00C65D8E">
            <w:pPr>
              <w:jc w:val="center"/>
              <w:rPr>
                <w:rFonts w:ascii="Times New Roman" w:hAnsi="Times New Roman" w:cs="Times New Roman"/>
                <w:color w:val="000000"/>
                <w:sz w:val="24"/>
                <w:szCs w:val="24"/>
              </w:rPr>
            </w:pPr>
            <w:r w:rsidRPr="00C65D8E">
              <w:rPr>
                <w:rFonts w:ascii="Times New Roman" w:hAnsi="Times New Roman" w:cs="Times New Roman"/>
                <w:color w:val="000000"/>
                <w:sz w:val="24"/>
                <w:szCs w:val="24"/>
              </w:rPr>
              <w:t>Tótkomlós</w:t>
            </w:r>
          </w:p>
        </w:tc>
        <w:tc>
          <w:tcPr>
            <w:tcW w:w="3071" w:type="dxa"/>
            <w:vAlign w:val="center"/>
          </w:tcPr>
          <w:p w:rsidR="00C65D8E" w:rsidRPr="00C65D8E" w:rsidRDefault="00C65D8E" w:rsidP="00C65D8E">
            <w:pPr>
              <w:jc w:val="center"/>
              <w:rPr>
                <w:rFonts w:ascii="Times New Roman" w:hAnsi="Times New Roman" w:cs="Times New Roman"/>
                <w:color w:val="000000"/>
                <w:sz w:val="24"/>
                <w:szCs w:val="24"/>
              </w:rPr>
            </w:pPr>
            <w:r w:rsidRPr="00C65D8E">
              <w:rPr>
                <w:rFonts w:ascii="Times New Roman" w:hAnsi="Times New Roman" w:cs="Times New Roman"/>
                <w:color w:val="000000"/>
                <w:sz w:val="24"/>
                <w:szCs w:val="24"/>
              </w:rPr>
              <w:t>245</w:t>
            </w:r>
          </w:p>
        </w:tc>
        <w:tc>
          <w:tcPr>
            <w:tcW w:w="3071" w:type="dxa"/>
            <w:vAlign w:val="center"/>
          </w:tcPr>
          <w:p w:rsidR="00C65D8E" w:rsidRPr="00C65D8E" w:rsidRDefault="00C65D8E" w:rsidP="00C65D8E">
            <w:pPr>
              <w:jc w:val="center"/>
              <w:rPr>
                <w:rFonts w:ascii="Times New Roman" w:hAnsi="Times New Roman" w:cs="Times New Roman"/>
                <w:color w:val="000000"/>
                <w:sz w:val="24"/>
                <w:szCs w:val="24"/>
              </w:rPr>
            </w:pPr>
            <w:r w:rsidRPr="00C65D8E">
              <w:rPr>
                <w:rFonts w:ascii="Times New Roman" w:hAnsi="Times New Roman" w:cs="Times New Roman"/>
                <w:color w:val="000000"/>
                <w:sz w:val="24"/>
                <w:szCs w:val="24"/>
              </w:rPr>
              <w:t>182,</w:t>
            </w:r>
            <w:r>
              <w:rPr>
                <w:rFonts w:ascii="Times New Roman" w:hAnsi="Times New Roman" w:cs="Times New Roman"/>
                <w:color w:val="000000"/>
                <w:sz w:val="24"/>
                <w:szCs w:val="24"/>
              </w:rPr>
              <w:t>3</w:t>
            </w:r>
          </w:p>
        </w:tc>
      </w:tr>
      <w:tr w:rsidR="00C65D8E" w:rsidRPr="00C65D8E" w:rsidTr="00C65D8E">
        <w:tc>
          <w:tcPr>
            <w:tcW w:w="3070" w:type="dxa"/>
            <w:vAlign w:val="center"/>
          </w:tcPr>
          <w:p w:rsidR="00C65D8E" w:rsidRPr="00C65D8E" w:rsidRDefault="00C65D8E" w:rsidP="00C65D8E">
            <w:pPr>
              <w:jc w:val="center"/>
              <w:rPr>
                <w:rFonts w:ascii="Times New Roman" w:hAnsi="Times New Roman" w:cs="Times New Roman"/>
                <w:color w:val="000000"/>
                <w:sz w:val="24"/>
                <w:szCs w:val="24"/>
              </w:rPr>
            </w:pPr>
            <w:r w:rsidRPr="00C65D8E">
              <w:rPr>
                <w:rFonts w:ascii="Times New Roman" w:hAnsi="Times New Roman" w:cs="Times New Roman"/>
                <w:color w:val="000000"/>
                <w:sz w:val="24"/>
                <w:szCs w:val="24"/>
              </w:rPr>
              <w:t>Egyéb</w:t>
            </w:r>
          </w:p>
        </w:tc>
        <w:tc>
          <w:tcPr>
            <w:tcW w:w="3071" w:type="dxa"/>
            <w:vAlign w:val="center"/>
          </w:tcPr>
          <w:p w:rsidR="00C65D8E" w:rsidRPr="00C65D8E" w:rsidRDefault="00C65D8E" w:rsidP="00C65D8E">
            <w:pPr>
              <w:jc w:val="center"/>
              <w:rPr>
                <w:rFonts w:ascii="Times New Roman" w:hAnsi="Times New Roman" w:cs="Times New Roman"/>
                <w:color w:val="000000"/>
                <w:sz w:val="24"/>
                <w:szCs w:val="24"/>
              </w:rPr>
            </w:pPr>
            <w:r w:rsidRPr="00C65D8E">
              <w:rPr>
                <w:rFonts w:ascii="Times New Roman" w:hAnsi="Times New Roman" w:cs="Times New Roman"/>
                <w:color w:val="000000"/>
                <w:sz w:val="24"/>
                <w:szCs w:val="24"/>
              </w:rPr>
              <w:t>21</w:t>
            </w:r>
          </w:p>
        </w:tc>
        <w:tc>
          <w:tcPr>
            <w:tcW w:w="3071" w:type="dxa"/>
            <w:vAlign w:val="center"/>
          </w:tcPr>
          <w:p w:rsidR="00C65D8E" w:rsidRPr="00C65D8E" w:rsidRDefault="00C65D8E" w:rsidP="00C65D8E">
            <w:pPr>
              <w:jc w:val="center"/>
              <w:rPr>
                <w:rFonts w:ascii="Times New Roman" w:hAnsi="Times New Roman" w:cs="Times New Roman"/>
                <w:color w:val="000000"/>
                <w:sz w:val="24"/>
                <w:szCs w:val="24"/>
              </w:rPr>
            </w:pPr>
            <w:r w:rsidRPr="00C65D8E">
              <w:rPr>
                <w:rFonts w:ascii="Times New Roman" w:hAnsi="Times New Roman" w:cs="Times New Roman"/>
                <w:color w:val="000000"/>
                <w:sz w:val="24"/>
                <w:szCs w:val="24"/>
              </w:rPr>
              <w:t>-</w:t>
            </w:r>
          </w:p>
        </w:tc>
      </w:tr>
      <w:tr w:rsidR="00C65D8E" w:rsidRPr="00C65D8E" w:rsidTr="00C65D8E">
        <w:tc>
          <w:tcPr>
            <w:tcW w:w="3070" w:type="dxa"/>
            <w:vAlign w:val="center"/>
          </w:tcPr>
          <w:p w:rsidR="00C65D8E" w:rsidRPr="00C65D8E" w:rsidRDefault="00C65D8E" w:rsidP="00C65D8E">
            <w:pPr>
              <w:jc w:val="center"/>
              <w:rPr>
                <w:rFonts w:ascii="Times New Roman" w:hAnsi="Times New Roman" w:cs="Times New Roman"/>
                <w:color w:val="000000"/>
                <w:sz w:val="24"/>
                <w:szCs w:val="24"/>
              </w:rPr>
            </w:pPr>
            <w:r w:rsidRPr="00C65D8E">
              <w:rPr>
                <w:rFonts w:ascii="Times New Roman" w:hAnsi="Times New Roman" w:cs="Times New Roman"/>
                <w:color w:val="000000"/>
                <w:sz w:val="24"/>
                <w:szCs w:val="24"/>
              </w:rPr>
              <w:t>Össz</w:t>
            </w:r>
            <w:r>
              <w:rPr>
                <w:rFonts w:ascii="Times New Roman" w:hAnsi="Times New Roman" w:cs="Times New Roman"/>
                <w:color w:val="000000"/>
                <w:sz w:val="24"/>
                <w:szCs w:val="24"/>
              </w:rPr>
              <w:t>esen</w:t>
            </w:r>
          </w:p>
        </w:tc>
        <w:tc>
          <w:tcPr>
            <w:tcW w:w="3071" w:type="dxa"/>
            <w:vAlign w:val="center"/>
          </w:tcPr>
          <w:p w:rsidR="00C65D8E" w:rsidRPr="00C65D8E" w:rsidRDefault="00C65D8E" w:rsidP="00C65D8E">
            <w:pPr>
              <w:jc w:val="center"/>
              <w:rPr>
                <w:rFonts w:ascii="Times New Roman" w:hAnsi="Times New Roman" w:cs="Times New Roman"/>
                <w:color w:val="000000"/>
                <w:sz w:val="24"/>
                <w:szCs w:val="24"/>
              </w:rPr>
            </w:pPr>
            <w:r w:rsidRPr="00C65D8E">
              <w:rPr>
                <w:rFonts w:ascii="Times New Roman" w:hAnsi="Times New Roman" w:cs="Times New Roman"/>
                <w:color w:val="000000"/>
                <w:sz w:val="24"/>
                <w:szCs w:val="24"/>
              </w:rPr>
              <w:t>1110</w:t>
            </w:r>
          </w:p>
        </w:tc>
        <w:tc>
          <w:tcPr>
            <w:tcW w:w="3071" w:type="dxa"/>
            <w:vAlign w:val="center"/>
          </w:tcPr>
          <w:p w:rsidR="00C65D8E" w:rsidRPr="00C65D8E" w:rsidRDefault="00C65D8E" w:rsidP="00C65D8E">
            <w:pPr>
              <w:jc w:val="center"/>
              <w:rPr>
                <w:rFonts w:ascii="Times New Roman" w:hAnsi="Times New Roman" w:cs="Times New Roman"/>
                <w:color w:val="000000"/>
                <w:sz w:val="24"/>
                <w:szCs w:val="24"/>
              </w:rPr>
            </w:pPr>
            <w:r w:rsidRPr="00C65D8E">
              <w:rPr>
                <w:rFonts w:ascii="Times New Roman" w:hAnsi="Times New Roman" w:cs="Times New Roman"/>
                <w:color w:val="000000"/>
                <w:sz w:val="24"/>
                <w:szCs w:val="24"/>
              </w:rPr>
              <w:t>85,</w:t>
            </w:r>
            <w:r>
              <w:rPr>
                <w:rFonts w:ascii="Times New Roman" w:hAnsi="Times New Roman" w:cs="Times New Roman"/>
                <w:color w:val="000000"/>
                <w:sz w:val="24"/>
                <w:szCs w:val="24"/>
              </w:rPr>
              <w:t>4</w:t>
            </w:r>
          </w:p>
        </w:tc>
      </w:tr>
    </w:tbl>
    <w:p w:rsidR="00707EA9" w:rsidRDefault="00707EA9" w:rsidP="004A3B24">
      <w:pPr>
        <w:jc w:val="both"/>
        <w:rPr>
          <w:rFonts w:ascii="Times New Roman" w:hAnsi="Times New Roman" w:cs="Times New Roman"/>
          <w:sz w:val="24"/>
          <w:szCs w:val="24"/>
        </w:rPr>
      </w:pPr>
    </w:p>
    <w:p w:rsidR="00DD16B4" w:rsidRDefault="00DD16B4" w:rsidP="00DD16B4">
      <w:pPr>
        <w:jc w:val="center"/>
        <w:rPr>
          <w:rFonts w:ascii="Times New Roman" w:hAnsi="Times New Roman" w:cs="Times New Roman"/>
          <w:sz w:val="24"/>
          <w:szCs w:val="24"/>
        </w:rPr>
      </w:pPr>
      <w:r w:rsidRPr="00DD16B4">
        <w:rPr>
          <w:rFonts w:ascii="Times New Roman" w:hAnsi="Times New Roman" w:cs="Times New Roman"/>
          <w:noProof/>
          <w:sz w:val="24"/>
          <w:szCs w:val="24"/>
          <w:lang w:eastAsia="hu-HU"/>
        </w:rPr>
        <w:lastRenderedPageBreak/>
        <w:drawing>
          <wp:inline distT="0" distB="0" distL="0" distR="0">
            <wp:extent cx="4572000" cy="2743200"/>
            <wp:effectExtent l="19050" t="0" r="19050" b="0"/>
            <wp:docPr id="1" name="Diagram 1"/>
            <wp:cNvGraphicFramePr/>
            <a:graphic xmlns:a="http://schemas.openxmlformats.org/drawingml/2006/main">
              <a:graphicData uri="http://schemas.openxmlformats.org/drawingml/2006/chart">
                <c:chart xmlns:c="http://schemas.openxmlformats.org/drawingml/2006/chart" xmlns:r="http://schemas.openxmlformats.org/officeDocument/2006/relationships" r:id="rId4"/>
              </a:graphicData>
            </a:graphic>
          </wp:inline>
        </w:drawing>
      </w:r>
    </w:p>
    <w:p w:rsidR="00FE42E2" w:rsidRDefault="00FE42E2" w:rsidP="004A3B24">
      <w:pPr>
        <w:jc w:val="both"/>
        <w:rPr>
          <w:rFonts w:ascii="Times New Roman" w:hAnsi="Times New Roman" w:cs="Times New Roman"/>
          <w:sz w:val="24"/>
          <w:szCs w:val="24"/>
        </w:rPr>
      </w:pPr>
    </w:p>
    <w:p w:rsidR="00C65D8E" w:rsidRDefault="00C65D8E" w:rsidP="004A3B24">
      <w:pPr>
        <w:jc w:val="both"/>
        <w:rPr>
          <w:rFonts w:ascii="Times New Roman" w:hAnsi="Times New Roman" w:cs="Times New Roman"/>
          <w:sz w:val="24"/>
          <w:szCs w:val="24"/>
        </w:rPr>
      </w:pPr>
      <w:r>
        <w:rPr>
          <w:rFonts w:ascii="Times New Roman" w:hAnsi="Times New Roman" w:cs="Times New Roman"/>
          <w:sz w:val="24"/>
          <w:szCs w:val="24"/>
        </w:rPr>
        <w:t>Az egyes településeken állandó lakóhellyel rendelkezők abszolút létszáma nem összehasonlítható, tekintettel az egyes települések jelentősen különböző lakosságszámára.</w:t>
      </w:r>
      <w:r w:rsidR="00DD16B4">
        <w:rPr>
          <w:rFonts w:ascii="Times New Roman" w:hAnsi="Times New Roman" w:cs="Times New Roman"/>
          <w:sz w:val="24"/>
          <w:szCs w:val="24"/>
        </w:rPr>
        <w:t xml:space="preserve"> Az ügyeleti aktivitást jelző 1000 lakosra jutó éves ügyeleti esetszám azonban alkalmas az egyes települések ügyeleti aktivitásának összehasonlítására. Alapvetően elmondható, hogy az ügyelet akkor működik a jogszabályokban ellátott céloknak megfelelően (a sürgős, következő rendelési időig nem halasztható ellátás biztosítása), amennyiben terhelése 40 eset/1000lakos/év aktivitás körüli forgalom látható. A grafikonon jól látható, hogy ez az egyes települések tekintetében meglehetősen jól megvalósul, tehát jelenleg a lakosság a túlnyomó részt jogszabályokban meghatározott esetekben (azt legfeljebb minimálisan meghaladó mértékben) veszi igénybe az ügyeletet, azaz az egyes települések tekintetében az indokolatlan ellátások száma viszonylag alacsony. Kivételt képez Orosháza és Pusztaföldvár, Orosháza esetében azonban érvényesül az országosan is megfigyelhető trend, mely szerint az ügyeleti rendelőt működtető településen, városi környezetben az indokolatlan ellátások száma óhatatlanul magasabb. Extrém kivételként látható Tótkomlós, mely igen jelentős mértékben felülreprezentált az ellátási aktivitásban, és ez sajnálatos módon az indokolatlan ellátások nagy számából adódik.</w:t>
      </w:r>
      <w:r w:rsidR="00D07F9F">
        <w:rPr>
          <w:rFonts w:ascii="Times New Roman" w:hAnsi="Times New Roman" w:cs="Times New Roman"/>
          <w:sz w:val="24"/>
          <w:szCs w:val="24"/>
        </w:rPr>
        <w:t xml:space="preserve"> Azaz a Tótkomlósi minimális ellátási esetszám </w:t>
      </w:r>
      <w:r w:rsidR="00E37A50">
        <w:rPr>
          <w:rFonts w:ascii="Times New Roman" w:hAnsi="Times New Roman" w:cs="Times New Roman"/>
          <w:sz w:val="24"/>
          <w:szCs w:val="24"/>
        </w:rPr>
        <w:t xml:space="preserve">is </w:t>
      </w:r>
      <w:r w:rsidR="00D07F9F">
        <w:rPr>
          <w:rFonts w:ascii="Times New Roman" w:hAnsi="Times New Roman" w:cs="Times New Roman"/>
          <w:sz w:val="24"/>
          <w:szCs w:val="24"/>
        </w:rPr>
        <w:t>(hét közben átlagosan 2,3 eset/ügyelet, hétvégén átlagosan 8,1 eset/ügyelet)</w:t>
      </w:r>
      <w:r w:rsidR="00E37A50">
        <w:rPr>
          <w:rFonts w:ascii="Times New Roman" w:hAnsi="Times New Roman" w:cs="Times New Roman"/>
          <w:sz w:val="24"/>
          <w:szCs w:val="24"/>
        </w:rPr>
        <w:t xml:space="preserve"> jelentős részben a hatályos jogszabályok alapján indokolatlan, kényelmi jellegű ellátás!</w:t>
      </w:r>
    </w:p>
    <w:p w:rsidR="00D07F9F" w:rsidRDefault="00D07F9F" w:rsidP="004A3B24">
      <w:pPr>
        <w:jc w:val="both"/>
        <w:rPr>
          <w:rFonts w:ascii="Times New Roman" w:hAnsi="Times New Roman" w:cs="Times New Roman"/>
          <w:sz w:val="24"/>
          <w:szCs w:val="24"/>
        </w:rPr>
      </w:pPr>
      <w:r>
        <w:rPr>
          <w:rFonts w:ascii="Times New Roman" w:hAnsi="Times New Roman" w:cs="Times New Roman"/>
          <w:sz w:val="24"/>
          <w:szCs w:val="24"/>
        </w:rPr>
        <w:t>A Tótkomlósi telephely fenntartása az OEP finanszírozáson felül összesen havi 2.160.000 Ft kiegészítő hozzájárulást igényel, mely fentiekből adódóan egy település lakosságának kényelmi szolgáltatását finanszírozza. Egyetlen ellátás Tótkomlóson közel 17.000 Ft-ba kerül! (Kérdéses, hogy a lakosság igénybe venné-e a szolgáltatást, ha a helyben történő ellátási komfortért fenti összeget ki kellene fizetnie, vagy inkább a kissé kényelmetlenebb, utazással járó, de „ingyenes” Orosházi ellátást választaná. Ráadásul az ügyeleti idő nagy részében egyébként is csak Orosházán van lehetőség a felírt gyógyszerek kiváltására, tehát az utazás jelenleg sem spórolható meg.)</w:t>
      </w:r>
    </w:p>
    <w:p w:rsidR="00DD16B4" w:rsidRPr="004A3B24" w:rsidRDefault="00DD16B4" w:rsidP="004A3B24">
      <w:pPr>
        <w:jc w:val="both"/>
        <w:rPr>
          <w:rFonts w:ascii="Times New Roman" w:hAnsi="Times New Roman" w:cs="Times New Roman"/>
          <w:sz w:val="24"/>
          <w:szCs w:val="24"/>
        </w:rPr>
      </w:pPr>
      <w:r>
        <w:rPr>
          <w:rFonts w:ascii="Times New Roman" w:hAnsi="Times New Roman" w:cs="Times New Roman"/>
          <w:sz w:val="24"/>
          <w:szCs w:val="24"/>
        </w:rPr>
        <w:lastRenderedPageBreak/>
        <w:t xml:space="preserve">Összefoglalva elmondható, hogy egy széleskörű összefogás eredményeként egy igen jól működő, modellértékű ügyeleti rendszert sikerült kialakítani az Orosházi Kistérség Többcélú Társulása területén. </w:t>
      </w:r>
      <w:r w:rsidR="00D07F9F">
        <w:rPr>
          <w:rFonts w:ascii="Times New Roman" w:hAnsi="Times New Roman" w:cs="Times New Roman"/>
          <w:sz w:val="24"/>
          <w:szCs w:val="24"/>
        </w:rPr>
        <w:t xml:space="preserve">Az eredmények jelentős részben saját működtetésből adódó nonprofit jellegnek, a Kistérség és az egyes Települések áldozatvállalásának, a Kistérség és az ügyeleti koordinátor jól összehangolt, megfeszített munkájának következménye. A lakosság és a Társszolgáltatók részéről a visszajelzések egyértelműen pozitívak, ami mutatja az erőfeszítések helyes irányát. </w:t>
      </w:r>
      <w:r w:rsidR="00E37A50">
        <w:rPr>
          <w:rFonts w:ascii="Times New Roman" w:hAnsi="Times New Roman" w:cs="Times New Roman"/>
          <w:sz w:val="24"/>
          <w:szCs w:val="24"/>
        </w:rPr>
        <w:t>A jelen eredmények megtartása mellett a rendszer további, az eredeti elképzeléseknek megfelelő fejlesztése mindenképpen szükséges, melyet a jelen forgalmi adatok, a más, hasonló adottságú területen több mint 10 éve jól működő rendszer tapasztalatai, a Társszolgáltatók támogatása egyaránt alátámaszt. Csak ez b</w:t>
      </w:r>
      <w:r w:rsidR="00BE17D1">
        <w:rPr>
          <w:rFonts w:ascii="Times New Roman" w:hAnsi="Times New Roman" w:cs="Times New Roman"/>
          <w:sz w:val="24"/>
          <w:szCs w:val="24"/>
        </w:rPr>
        <w:t>iztosíthatja hosszú távon az ön</w:t>
      </w:r>
      <w:r w:rsidR="00E37A50">
        <w:rPr>
          <w:rFonts w:ascii="Times New Roman" w:hAnsi="Times New Roman" w:cs="Times New Roman"/>
          <w:sz w:val="24"/>
          <w:szCs w:val="24"/>
        </w:rPr>
        <w:t>fenntartó, kiegészítő támogatást nem igénylő, de szakmailag magas színvonalú alapellátási ügyelet működését!</w:t>
      </w:r>
    </w:p>
    <w:sectPr w:rsidR="00DD16B4" w:rsidRPr="004A3B24" w:rsidSect="009F51A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B17057"/>
    <w:rsid w:val="00001FD7"/>
    <w:rsid w:val="001B3288"/>
    <w:rsid w:val="001E3A4B"/>
    <w:rsid w:val="00291D1A"/>
    <w:rsid w:val="003B422F"/>
    <w:rsid w:val="004A3B24"/>
    <w:rsid w:val="004D3C7E"/>
    <w:rsid w:val="004D486E"/>
    <w:rsid w:val="00692543"/>
    <w:rsid w:val="006F7DAE"/>
    <w:rsid w:val="00707EA9"/>
    <w:rsid w:val="009F51AB"/>
    <w:rsid w:val="00A807A1"/>
    <w:rsid w:val="00B17057"/>
    <w:rsid w:val="00BE17D1"/>
    <w:rsid w:val="00C65D8E"/>
    <w:rsid w:val="00D07F9F"/>
    <w:rsid w:val="00D819B5"/>
    <w:rsid w:val="00DD16B4"/>
    <w:rsid w:val="00E37A50"/>
    <w:rsid w:val="00F20E75"/>
    <w:rsid w:val="00FE42E2"/>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9F51AB"/>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table" w:styleId="Rcsostblzat">
    <w:name w:val="Table Grid"/>
    <w:basedOn w:val="Normltblzat"/>
    <w:uiPriority w:val="59"/>
    <w:rsid w:val="0069254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uborkszveg">
    <w:name w:val="Balloon Text"/>
    <w:basedOn w:val="Norml"/>
    <w:link w:val="BuborkszvegChar"/>
    <w:uiPriority w:val="99"/>
    <w:semiHidden/>
    <w:unhideWhenUsed/>
    <w:rsid w:val="00DD16B4"/>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DD16B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52535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oleObject" Target="file:///C:\Documents%20and%20Settings\Tulajdonos\Local%20Settings\Temp\statisztika.xls.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hu-HU"/>
  <c:chart>
    <c:plotArea>
      <c:layout/>
      <c:barChart>
        <c:barDir val="col"/>
        <c:grouping val="clustered"/>
        <c:ser>
          <c:idx val="0"/>
          <c:order val="0"/>
          <c:cat>
            <c:strRef>
              <c:f>Munka1!$R$12:$R$21</c:f>
              <c:strCache>
                <c:ptCount val="10"/>
                <c:pt idx="0">
                  <c:v>Csorvás</c:v>
                </c:pt>
                <c:pt idx="1">
                  <c:v>Gádoros</c:v>
                </c:pt>
                <c:pt idx="2">
                  <c:v>Gerendás</c:v>
                </c:pt>
                <c:pt idx="3">
                  <c:v>Nagyszénás</c:v>
                </c:pt>
                <c:pt idx="4">
                  <c:v>Orosháza</c:v>
                </c:pt>
                <c:pt idx="5">
                  <c:v>Pusztaföldvár</c:v>
                </c:pt>
                <c:pt idx="6">
                  <c:v>Békéssámson</c:v>
                </c:pt>
                <c:pt idx="7">
                  <c:v>Csanádapáca</c:v>
                </c:pt>
                <c:pt idx="8">
                  <c:v>Kardoskút</c:v>
                </c:pt>
                <c:pt idx="9">
                  <c:v>Tótkomlós</c:v>
                </c:pt>
              </c:strCache>
            </c:strRef>
          </c:cat>
          <c:val>
            <c:numRef>
              <c:f>Munka1!$Q$12:$Q$21</c:f>
              <c:numCache>
                <c:formatCode>General</c:formatCode>
                <c:ptCount val="10"/>
                <c:pt idx="0">
                  <c:v>38.455235062745835</c:v>
                </c:pt>
                <c:pt idx="1">
                  <c:v>48.125160792384925</c:v>
                </c:pt>
                <c:pt idx="2">
                  <c:v>53.206997084548107</c:v>
                </c:pt>
                <c:pt idx="3">
                  <c:v>47.297945862929588</c:v>
                </c:pt>
                <c:pt idx="4">
                  <c:v>84.050922796106008</c:v>
                </c:pt>
                <c:pt idx="5">
                  <c:v>79.089924160346726</c:v>
                </c:pt>
                <c:pt idx="6">
                  <c:v>60.134991496598602</c:v>
                </c:pt>
                <c:pt idx="7">
                  <c:v>28.844365935291933</c:v>
                </c:pt>
                <c:pt idx="8">
                  <c:v>30.689461883408075</c:v>
                </c:pt>
                <c:pt idx="9">
                  <c:v>182.26194358389043</c:v>
                </c:pt>
              </c:numCache>
            </c:numRef>
          </c:val>
        </c:ser>
        <c:axId val="85088512"/>
        <c:axId val="93713536"/>
      </c:barChart>
      <c:lineChart>
        <c:grouping val="standard"/>
        <c:ser>
          <c:idx val="1"/>
          <c:order val="1"/>
          <c:marker>
            <c:symbol val="none"/>
          </c:marker>
          <c:val>
            <c:numRef>
              <c:f>Munka1!$S$12:$S$21</c:f>
              <c:numCache>
                <c:formatCode>General</c:formatCode>
                <c:ptCount val="10"/>
                <c:pt idx="0">
                  <c:v>85.398293509603221</c:v>
                </c:pt>
                <c:pt idx="1">
                  <c:v>85.398293509603221</c:v>
                </c:pt>
                <c:pt idx="2">
                  <c:v>85.398293509603221</c:v>
                </c:pt>
                <c:pt idx="3">
                  <c:v>85.398293509603221</c:v>
                </c:pt>
                <c:pt idx="4">
                  <c:v>85.398293509603221</c:v>
                </c:pt>
                <c:pt idx="5">
                  <c:v>85.398293509603221</c:v>
                </c:pt>
                <c:pt idx="6">
                  <c:v>85.398293509603221</c:v>
                </c:pt>
                <c:pt idx="7">
                  <c:v>85.398293509603221</c:v>
                </c:pt>
                <c:pt idx="8">
                  <c:v>85.398293509603221</c:v>
                </c:pt>
                <c:pt idx="9">
                  <c:v>85.398293509603221</c:v>
                </c:pt>
              </c:numCache>
            </c:numRef>
          </c:val>
        </c:ser>
        <c:marker val="1"/>
        <c:axId val="85088512"/>
        <c:axId val="93713536"/>
      </c:lineChart>
      <c:catAx>
        <c:axId val="85088512"/>
        <c:scaling>
          <c:orientation val="minMax"/>
        </c:scaling>
        <c:axPos val="b"/>
        <c:tickLblPos val="nextTo"/>
        <c:crossAx val="93713536"/>
        <c:crosses val="autoZero"/>
        <c:auto val="1"/>
        <c:lblAlgn val="ctr"/>
        <c:lblOffset val="100"/>
      </c:catAx>
      <c:valAx>
        <c:axId val="93713536"/>
        <c:scaling>
          <c:orientation val="minMax"/>
        </c:scaling>
        <c:axPos val="l"/>
        <c:majorGridlines/>
        <c:title>
          <c:tx>
            <c:rich>
              <a:bodyPr rot="-5400000" vert="horz"/>
              <a:lstStyle/>
              <a:p>
                <a:pPr>
                  <a:defRPr/>
                </a:pPr>
                <a:r>
                  <a:rPr lang="en-US" sz="1200" b="1"/>
                  <a:t>Eset/1000 lakos/év</a:t>
                </a:r>
              </a:p>
            </c:rich>
          </c:tx>
        </c:title>
        <c:numFmt formatCode="General" sourceLinked="1"/>
        <c:tickLblPos val="nextTo"/>
        <c:crossAx val="85088512"/>
        <c:crosses val="autoZero"/>
        <c:crossBetween val="between"/>
      </c:valAx>
    </c:plotArea>
    <c:plotVisOnly val="1"/>
    <c:dispBlanksAs val="gap"/>
  </c:chart>
  <c:externalData r:id="rId1"/>
</c:chartSpace>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Pages>
  <Words>1482</Words>
  <Characters>10231</Characters>
  <Application>Microsoft Office Word</Application>
  <DocSecurity>0</DocSecurity>
  <Lines>85</Lines>
  <Paragraphs>23</Paragraphs>
  <ScaleCrop>false</ScaleCrop>
  <HeadingPairs>
    <vt:vector size="2" baseType="variant">
      <vt:variant>
        <vt:lpstr>Cím</vt:lpstr>
      </vt:variant>
      <vt:variant>
        <vt:i4>1</vt:i4>
      </vt:variant>
    </vt:vector>
  </HeadingPairs>
  <TitlesOfParts>
    <vt:vector size="1" baseType="lpstr">
      <vt:lpstr/>
    </vt:vector>
  </TitlesOfParts>
  <Company>WXPEE</Company>
  <LinksUpToDate>false</LinksUpToDate>
  <CharactersWithSpaces>11690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Tulajdonos</dc:creator>
  <cp:lastModifiedBy>Ildikó</cp:lastModifiedBy>
  <cp:revision>2</cp:revision>
  <cp:lastPrinted>2014-11-21T11:36:00Z</cp:lastPrinted>
  <dcterms:created xsi:type="dcterms:W3CDTF">2014-11-21T11:42:00Z</dcterms:created>
  <dcterms:modified xsi:type="dcterms:W3CDTF">2014-11-21T11:42:00Z</dcterms:modified>
</cp:coreProperties>
</file>